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ascii="微软雅黑" w:hAnsi="微软雅黑" w:eastAsia="微软雅黑"/>
          <w:b/>
          <w:sz w:val="28"/>
        </w:rPr>
      </w:pPr>
      <w:r>
        <w:rPr>
          <w:rFonts w:hint="eastAsia" w:ascii="微软雅黑" w:hAnsi="微软雅黑" w:eastAsia="微软雅黑"/>
          <w:b/>
          <w:sz w:val="28"/>
        </w:rPr>
        <w:drawing>
          <wp:inline distT="0" distB="0" distL="0" distR="0">
            <wp:extent cx="1447800" cy="27940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549441" cy="299616"/>
                    </a:xfrm>
                    <a:prstGeom prst="rect">
                      <a:avLst/>
                    </a:prstGeom>
                  </pic:spPr>
                </pic:pic>
              </a:graphicData>
            </a:graphic>
          </wp:inline>
        </w:drawing>
      </w:r>
    </w:p>
    <w:p>
      <w:pPr>
        <w:jc w:val="center"/>
        <w:rPr>
          <w:rFonts w:ascii="微软雅黑" w:hAnsi="微软雅黑" w:eastAsia="微软雅黑"/>
          <w:b/>
          <w:sz w:val="28"/>
        </w:rPr>
      </w:pPr>
      <w:r>
        <w:rPr>
          <w:rFonts w:hint="eastAsia" w:ascii="微软雅黑" w:hAnsi="微软雅黑" w:eastAsia="微软雅黑"/>
          <w:b/>
          <w:sz w:val="28"/>
        </w:rPr>
        <w:t>先声药业</w:t>
      </w:r>
      <w:r>
        <w:rPr>
          <w:rFonts w:ascii="微软雅黑" w:hAnsi="微软雅黑" w:eastAsia="微软雅黑"/>
          <w:b/>
          <w:sz w:val="28"/>
        </w:rPr>
        <w:t>2022</w:t>
      </w:r>
      <w:r>
        <w:rPr>
          <w:rFonts w:hint="eastAsia" w:ascii="微软雅黑" w:hAnsi="微软雅黑" w:eastAsia="微软雅黑"/>
          <w:b/>
          <w:sz w:val="28"/>
        </w:rPr>
        <w:t>届春季校园招聘简章</w:t>
      </w:r>
    </w:p>
    <w:p>
      <w:pPr>
        <w:pStyle w:val="15"/>
        <w:numPr>
          <w:ilvl w:val="0"/>
          <w:numId w:val="1"/>
        </w:numPr>
        <w:tabs>
          <w:tab w:val="left" w:pos="567"/>
        </w:tabs>
        <w:ind w:firstLineChars="0"/>
        <w:rPr>
          <w:rFonts w:ascii="微软雅黑" w:hAnsi="微软雅黑" w:eastAsia="微软雅黑"/>
          <w:b/>
          <w:sz w:val="24"/>
        </w:rPr>
      </w:pPr>
      <w:r>
        <w:rPr>
          <w:rFonts w:hint="eastAsia" w:ascii="微软雅黑" w:hAnsi="微软雅黑" w:eastAsia="微软雅黑"/>
          <w:b/>
          <w:sz w:val="24"/>
        </w:rPr>
        <w:t>企业介绍</w:t>
      </w:r>
    </w:p>
    <w:p>
      <w:pPr>
        <w:pStyle w:val="5"/>
        <w:spacing w:line="400" w:lineRule="exact"/>
        <w:ind w:firstLine="420" w:firstLineChars="200"/>
        <w:rPr>
          <w:rFonts w:ascii="微软雅黑" w:hAnsi="微软雅黑" w:eastAsia="微软雅黑" w:cs="Helvetica"/>
          <w:color w:val="000000"/>
          <w:sz w:val="21"/>
          <w:szCs w:val="21"/>
        </w:rPr>
      </w:pPr>
      <w:r>
        <w:rPr>
          <w:rFonts w:hint="eastAsia" w:ascii="微软雅黑" w:hAnsi="微软雅黑" w:eastAsia="微软雅黑" w:cs="Helvetica"/>
          <w:color w:val="000000"/>
          <w:sz w:val="21"/>
          <w:szCs w:val="21"/>
        </w:rPr>
        <w:t>先声药业（2096.HK）是一家正在快速向创新与研发驱动转型的制药公司，拥有获科技部批准的“转化医学与创新药物国家重点实验室”。公司聚焦肿瘤、中枢神经和自身免疫三大疾病领域，致力于让患者早日用上更有效药物。凭借优异的研发与商业化能力，其主要产品在中国保持领先的市场份额。先声药业秉持自主研发与合作研发双轮驱动的研发策略，与多家跨国公司和生物技术企业成为战略合作伙伴，促进全球生命科学成果在中国的价值实现。</w:t>
      </w:r>
    </w:p>
    <w:p>
      <w:pPr>
        <w:pStyle w:val="15"/>
        <w:numPr>
          <w:ilvl w:val="0"/>
          <w:numId w:val="1"/>
        </w:numPr>
        <w:tabs>
          <w:tab w:val="left" w:pos="567"/>
        </w:tabs>
        <w:ind w:firstLineChars="0"/>
        <w:rPr>
          <w:rFonts w:ascii="微软雅黑" w:hAnsi="微软雅黑" w:eastAsia="微软雅黑"/>
          <w:b/>
          <w:sz w:val="24"/>
          <w:szCs w:val="24"/>
        </w:rPr>
      </w:pPr>
      <w:r>
        <w:rPr>
          <w:rFonts w:hint="eastAsia" w:ascii="微软雅黑" w:hAnsi="微软雅黑" w:eastAsia="微软雅黑"/>
          <w:b/>
          <w:sz w:val="24"/>
          <w:szCs w:val="24"/>
        </w:rPr>
        <w:t>招聘岗位及需求</w:t>
      </w:r>
    </w:p>
    <w:tbl>
      <w:tblPr>
        <w:tblStyle w:val="6"/>
        <w:tblW w:w="9680" w:type="dxa"/>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33"/>
        <w:gridCol w:w="2539"/>
        <w:gridCol w:w="1457"/>
        <w:gridCol w:w="41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trPr>
        <w:tc>
          <w:tcPr>
            <w:tcW w:w="1533" w:type="dxa"/>
            <w:tcBorders>
              <w:tl2br w:val="nil"/>
              <w:tr2bl w:val="nil"/>
            </w:tcBorders>
            <w:shd w:val="clear" w:color="auto" w:fill="auto"/>
            <w:noWrap/>
            <w:vAlign w:val="center"/>
          </w:tcPr>
          <w:p>
            <w:pPr>
              <w:widowControl/>
              <w:jc w:val="left"/>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职位类型</w:t>
            </w:r>
          </w:p>
        </w:tc>
        <w:tc>
          <w:tcPr>
            <w:tcW w:w="2539" w:type="dxa"/>
            <w:tcBorders>
              <w:tl2br w:val="nil"/>
              <w:tr2bl w:val="nil"/>
            </w:tcBorders>
            <w:shd w:val="clear" w:color="auto" w:fill="auto"/>
            <w:noWrap/>
            <w:vAlign w:val="center"/>
          </w:tcPr>
          <w:p>
            <w:pPr>
              <w:widowControl/>
              <w:jc w:val="left"/>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职位名称</w:t>
            </w:r>
          </w:p>
        </w:tc>
        <w:tc>
          <w:tcPr>
            <w:tcW w:w="1457" w:type="dxa"/>
            <w:tcBorders>
              <w:tl2br w:val="nil"/>
              <w:tr2bl w:val="nil"/>
            </w:tcBorders>
            <w:shd w:val="clear" w:color="auto" w:fill="auto"/>
            <w:noWrap/>
            <w:vAlign w:val="center"/>
          </w:tcPr>
          <w:p>
            <w:pPr>
              <w:widowControl/>
              <w:jc w:val="left"/>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学历要求</w:t>
            </w:r>
          </w:p>
        </w:tc>
        <w:tc>
          <w:tcPr>
            <w:tcW w:w="4151" w:type="dxa"/>
            <w:tcBorders>
              <w:tl2br w:val="nil"/>
              <w:tr2bl w:val="nil"/>
            </w:tcBorders>
            <w:shd w:val="clear" w:color="auto" w:fill="auto"/>
            <w:noWrap/>
            <w:vAlign w:val="center"/>
          </w:tcPr>
          <w:p>
            <w:pPr>
              <w:widowControl/>
              <w:jc w:val="left"/>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工作城市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trPr>
        <w:tc>
          <w:tcPr>
            <w:tcW w:w="1533" w:type="dxa"/>
            <w:tcBorders>
              <w:tl2br w:val="nil"/>
              <w:tr2bl w:val="nil"/>
            </w:tcBorders>
            <w:shd w:val="clear" w:color="auto" w:fill="auto"/>
            <w:noWrap/>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营销</w:t>
            </w:r>
          </w:p>
        </w:tc>
        <w:tc>
          <w:tcPr>
            <w:tcW w:w="2539" w:type="dxa"/>
            <w:tcBorders>
              <w:tl2br w:val="nil"/>
              <w:tr2bl w:val="nil"/>
            </w:tcBorders>
            <w:shd w:val="clear" w:color="auto" w:fill="auto"/>
            <w:noWrap/>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医学信息沟通专员</w:t>
            </w:r>
            <w:r>
              <w:rPr>
                <w:rFonts w:hint="eastAsia" w:ascii="微软雅黑" w:hAnsi="微软雅黑" w:eastAsia="微软雅黑" w:cs="宋体"/>
                <w:color w:val="000000"/>
                <w:kern w:val="0"/>
                <w:sz w:val="18"/>
                <w:szCs w:val="18"/>
                <w:lang w:val="en-US" w:eastAsia="zh-CN"/>
              </w:rPr>
              <w:t>-江苏</w:t>
            </w:r>
          </w:p>
        </w:tc>
        <w:tc>
          <w:tcPr>
            <w:tcW w:w="1457" w:type="dxa"/>
            <w:tcBorders>
              <w:tl2br w:val="nil"/>
              <w:tr2bl w:val="nil"/>
            </w:tcBorders>
            <w:shd w:val="clear" w:color="auto" w:fill="auto"/>
            <w:noWrap/>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c>
          <w:tcPr>
            <w:tcW w:w="4151" w:type="dxa"/>
            <w:tcBorders>
              <w:tl2br w:val="nil"/>
              <w:tr2bl w:val="nil"/>
            </w:tcBorders>
            <w:shd w:val="clear" w:color="auto" w:fill="auto"/>
            <w:noWrap/>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lang w:val="en-US" w:eastAsia="zh-CN"/>
              </w:rPr>
              <w:t>江苏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trPr>
        <w:tc>
          <w:tcPr>
            <w:tcW w:w="1533"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en-US" w:eastAsia="zh-CN"/>
              </w:rPr>
              <w:t>营销</w:t>
            </w:r>
          </w:p>
        </w:tc>
        <w:tc>
          <w:tcPr>
            <w:tcW w:w="2539" w:type="dxa"/>
            <w:tcBorders>
              <w:tl2br w:val="nil"/>
              <w:tr2bl w:val="nil"/>
            </w:tcBorders>
            <w:shd w:val="clear" w:color="auto" w:fill="auto"/>
            <w:noWrap/>
          </w:tcPr>
          <w:p>
            <w:pPr>
              <w:widowControl/>
              <w:jc w:val="left"/>
              <w:rPr>
                <w:rFonts w:hint="default" w:ascii="微软雅黑" w:hAnsi="微软雅黑" w:eastAsia="微软雅黑" w:cs="宋体"/>
                <w:color w:val="000000"/>
                <w:kern w:val="0"/>
                <w:sz w:val="18"/>
                <w:szCs w:val="18"/>
                <w:lang w:val="en-US"/>
              </w:rPr>
            </w:pPr>
            <w:r>
              <w:rPr>
                <w:rFonts w:hint="eastAsia" w:ascii="微软雅黑" w:hAnsi="微软雅黑" w:eastAsia="微软雅黑" w:cs="宋体"/>
                <w:color w:val="000000"/>
                <w:kern w:val="0"/>
                <w:sz w:val="18"/>
                <w:szCs w:val="18"/>
              </w:rPr>
              <w:t>医学信息沟通专员</w:t>
            </w:r>
            <w:r>
              <w:rPr>
                <w:rFonts w:hint="eastAsia" w:ascii="微软雅黑" w:hAnsi="微软雅黑" w:eastAsia="微软雅黑" w:cs="宋体"/>
                <w:color w:val="000000"/>
                <w:kern w:val="0"/>
                <w:sz w:val="18"/>
                <w:szCs w:val="18"/>
                <w:lang w:val="en-US" w:eastAsia="zh-CN"/>
              </w:rPr>
              <w:t>-山东</w:t>
            </w:r>
          </w:p>
        </w:tc>
        <w:tc>
          <w:tcPr>
            <w:tcW w:w="1457"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c>
          <w:tcPr>
            <w:tcW w:w="4151"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lang w:val="en-US" w:eastAsia="zh-CN"/>
              </w:rPr>
              <w:t>山东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trPr>
        <w:tc>
          <w:tcPr>
            <w:tcW w:w="1533"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营销</w:t>
            </w:r>
          </w:p>
        </w:tc>
        <w:tc>
          <w:tcPr>
            <w:tcW w:w="2539" w:type="dxa"/>
            <w:tcBorders>
              <w:tl2br w:val="nil"/>
              <w:tr2bl w:val="nil"/>
            </w:tcBorders>
            <w:shd w:val="clear" w:color="auto" w:fill="auto"/>
            <w:noWrap/>
          </w:tcPr>
          <w:p>
            <w:pPr>
              <w:widowControl/>
              <w:jc w:val="left"/>
              <w:rPr>
                <w:rFonts w:hint="default" w:ascii="微软雅黑" w:hAnsi="微软雅黑" w:eastAsia="微软雅黑" w:cs="宋体"/>
                <w:color w:val="000000"/>
                <w:kern w:val="0"/>
                <w:sz w:val="18"/>
                <w:szCs w:val="18"/>
                <w:lang w:val="en-US"/>
              </w:rPr>
            </w:pPr>
            <w:r>
              <w:rPr>
                <w:rFonts w:hint="eastAsia" w:ascii="微软雅黑" w:hAnsi="微软雅黑" w:eastAsia="微软雅黑" w:cs="宋体"/>
                <w:color w:val="000000"/>
                <w:kern w:val="0"/>
                <w:sz w:val="18"/>
                <w:szCs w:val="18"/>
              </w:rPr>
              <w:t>医学信息沟通专员</w:t>
            </w:r>
            <w:r>
              <w:rPr>
                <w:rFonts w:hint="eastAsia" w:ascii="微软雅黑" w:hAnsi="微软雅黑" w:eastAsia="微软雅黑" w:cs="宋体"/>
                <w:color w:val="000000"/>
                <w:kern w:val="0"/>
                <w:sz w:val="18"/>
                <w:szCs w:val="18"/>
                <w:lang w:val="en-US" w:eastAsia="zh-CN"/>
              </w:rPr>
              <w:t>-上海</w:t>
            </w:r>
          </w:p>
        </w:tc>
        <w:tc>
          <w:tcPr>
            <w:tcW w:w="1457"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c>
          <w:tcPr>
            <w:tcW w:w="4151"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lang w:val="en-US" w:eastAsia="zh-CN"/>
              </w:rPr>
              <w:t>上海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trPr>
        <w:tc>
          <w:tcPr>
            <w:tcW w:w="1533"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营销</w:t>
            </w:r>
          </w:p>
        </w:tc>
        <w:tc>
          <w:tcPr>
            <w:tcW w:w="2539" w:type="dxa"/>
            <w:tcBorders>
              <w:tl2br w:val="nil"/>
              <w:tr2bl w:val="nil"/>
            </w:tcBorders>
            <w:shd w:val="clear" w:color="auto" w:fill="auto"/>
            <w:noWrap/>
          </w:tcPr>
          <w:p>
            <w:pPr>
              <w:widowControl/>
              <w:jc w:val="left"/>
              <w:rPr>
                <w:rFonts w:hint="default" w:ascii="微软雅黑" w:hAnsi="微软雅黑" w:eastAsia="微软雅黑" w:cs="宋体"/>
                <w:color w:val="000000"/>
                <w:kern w:val="0"/>
                <w:sz w:val="18"/>
                <w:szCs w:val="18"/>
                <w:lang w:val="en-US"/>
              </w:rPr>
            </w:pPr>
            <w:r>
              <w:rPr>
                <w:rFonts w:hint="eastAsia" w:ascii="微软雅黑" w:hAnsi="微软雅黑" w:eastAsia="微软雅黑" w:cs="宋体"/>
                <w:color w:val="000000"/>
                <w:kern w:val="0"/>
                <w:sz w:val="18"/>
                <w:szCs w:val="18"/>
              </w:rPr>
              <w:t>医学信息沟通专员</w:t>
            </w:r>
            <w:r>
              <w:rPr>
                <w:rFonts w:hint="eastAsia" w:ascii="微软雅黑" w:hAnsi="微软雅黑" w:eastAsia="微软雅黑" w:cs="宋体"/>
                <w:color w:val="000000"/>
                <w:kern w:val="0"/>
                <w:sz w:val="18"/>
                <w:szCs w:val="18"/>
                <w:lang w:val="en-US" w:eastAsia="zh-CN"/>
              </w:rPr>
              <w:t>-浙江</w:t>
            </w:r>
          </w:p>
        </w:tc>
        <w:tc>
          <w:tcPr>
            <w:tcW w:w="1457"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c>
          <w:tcPr>
            <w:tcW w:w="4151"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lang w:val="en-US" w:eastAsia="zh-CN"/>
              </w:rPr>
              <w:t>浙江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trPr>
        <w:tc>
          <w:tcPr>
            <w:tcW w:w="1533"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营销</w:t>
            </w:r>
          </w:p>
        </w:tc>
        <w:tc>
          <w:tcPr>
            <w:tcW w:w="2539" w:type="dxa"/>
            <w:tcBorders>
              <w:tl2br w:val="nil"/>
              <w:tr2bl w:val="nil"/>
            </w:tcBorders>
            <w:shd w:val="clear" w:color="auto" w:fill="auto"/>
            <w:noWrap/>
          </w:tcPr>
          <w:p>
            <w:pPr>
              <w:widowControl/>
              <w:jc w:val="left"/>
              <w:rPr>
                <w:rFonts w:hint="default" w:ascii="微软雅黑" w:hAnsi="微软雅黑" w:eastAsia="微软雅黑" w:cs="宋体"/>
                <w:color w:val="000000"/>
                <w:kern w:val="0"/>
                <w:sz w:val="18"/>
                <w:szCs w:val="18"/>
                <w:lang w:val="en-US"/>
              </w:rPr>
            </w:pPr>
            <w:r>
              <w:rPr>
                <w:rFonts w:hint="eastAsia" w:ascii="微软雅黑" w:hAnsi="微软雅黑" w:eastAsia="微软雅黑" w:cs="宋体"/>
                <w:color w:val="000000"/>
                <w:kern w:val="0"/>
                <w:sz w:val="18"/>
                <w:szCs w:val="18"/>
              </w:rPr>
              <w:t>医学信息沟通专员</w:t>
            </w:r>
            <w:r>
              <w:rPr>
                <w:rFonts w:hint="eastAsia" w:ascii="微软雅黑" w:hAnsi="微软雅黑" w:eastAsia="微软雅黑" w:cs="宋体"/>
                <w:color w:val="000000"/>
                <w:kern w:val="0"/>
                <w:sz w:val="18"/>
                <w:szCs w:val="18"/>
                <w:lang w:val="en-US" w:eastAsia="zh-CN"/>
              </w:rPr>
              <w:t>-华北</w:t>
            </w:r>
          </w:p>
        </w:tc>
        <w:tc>
          <w:tcPr>
            <w:tcW w:w="1457"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c>
          <w:tcPr>
            <w:tcW w:w="4151" w:type="dxa"/>
            <w:tcBorders>
              <w:tl2br w:val="nil"/>
              <w:tr2bl w:val="nil"/>
            </w:tcBorders>
            <w:shd w:val="clear" w:color="auto" w:fill="auto"/>
            <w:noWrap/>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en-US" w:eastAsia="zh-CN"/>
              </w:rPr>
              <w:t>天津、山西、内蒙、河北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trPr>
        <w:tc>
          <w:tcPr>
            <w:tcW w:w="1533"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营销</w:t>
            </w:r>
          </w:p>
        </w:tc>
        <w:tc>
          <w:tcPr>
            <w:tcW w:w="2539" w:type="dxa"/>
            <w:tcBorders>
              <w:tl2br w:val="nil"/>
              <w:tr2bl w:val="nil"/>
            </w:tcBorders>
            <w:shd w:val="clear" w:color="auto" w:fill="auto"/>
            <w:noWrap/>
          </w:tcPr>
          <w:p>
            <w:pPr>
              <w:widowControl/>
              <w:jc w:val="left"/>
              <w:rPr>
                <w:rFonts w:hint="default" w:ascii="微软雅黑" w:hAnsi="微软雅黑" w:eastAsia="微软雅黑" w:cs="宋体"/>
                <w:color w:val="000000"/>
                <w:kern w:val="0"/>
                <w:sz w:val="18"/>
                <w:szCs w:val="18"/>
                <w:lang w:val="en-US"/>
              </w:rPr>
            </w:pPr>
            <w:r>
              <w:rPr>
                <w:rFonts w:hint="eastAsia" w:ascii="微软雅黑" w:hAnsi="微软雅黑" w:eastAsia="微软雅黑" w:cs="宋体"/>
                <w:color w:val="000000"/>
                <w:kern w:val="0"/>
                <w:sz w:val="18"/>
                <w:szCs w:val="18"/>
              </w:rPr>
              <w:t>医学信息沟通专员</w:t>
            </w:r>
            <w:r>
              <w:rPr>
                <w:rFonts w:hint="eastAsia" w:ascii="微软雅黑" w:hAnsi="微软雅黑" w:eastAsia="微软雅黑" w:cs="宋体"/>
                <w:color w:val="000000"/>
                <w:kern w:val="0"/>
                <w:sz w:val="18"/>
                <w:szCs w:val="18"/>
                <w:lang w:val="en-US" w:eastAsia="zh-CN"/>
              </w:rPr>
              <w:t>-华南</w:t>
            </w:r>
          </w:p>
        </w:tc>
        <w:tc>
          <w:tcPr>
            <w:tcW w:w="1457"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c>
          <w:tcPr>
            <w:tcW w:w="4151" w:type="dxa"/>
            <w:tcBorders>
              <w:tl2br w:val="nil"/>
              <w:tr2bl w:val="nil"/>
            </w:tcBorders>
            <w:shd w:val="clear" w:color="auto" w:fill="auto"/>
            <w:noWrap/>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en-US" w:eastAsia="zh-CN"/>
              </w:rPr>
              <w:t>广东、广西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trPr>
        <w:tc>
          <w:tcPr>
            <w:tcW w:w="1533"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营销</w:t>
            </w:r>
          </w:p>
        </w:tc>
        <w:tc>
          <w:tcPr>
            <w:tcW w:w="2539" w:type="dxa"/>
            <w:tcBorders>
              <w:tl2br w:val="nil"/>
              <w:tr2bl w:val="nil"/>
            </w:tcBorders>
            <w:shd w:val="clear" w:color="auto" w:fill="auto"/>
            <w:noWrap/>
          </w:tcPr>
          <w:p>
            <w:pPr>
              <w:widowControl/>
              <w:jc w:val="left"/>
              <w:rPr>
                <w:rFonts w:hint="default" w:ascii="微软雅黑" w:hAnsi="微软雅黑" w:eastAsia="微软雅黑" w:cs="宋体"/>
                <w:color w:val="000000"/>
                <w:kern w:val="0"/>
                <w:sz w:val="18"/>
                <w:szCs w:val="18"/>
                <w:lang w:val="en-US"/>
              </w:rPr>
            </w:pPr>
            <w:r>
              <w:rPr>
                <w:rFonts w:hint="eastAsia" w:ascii="微软雅黑" w:hAnsi="微软雅黑" w:eastAsia="微软雅黑" w:cs="宋体"/>
                <w:color w:val="000000"/>
                <w:kern w:val="0"/>
                <w:sz w:val="18"/>
                <w:szCs w:val="18"/>
              </w:rPr>
              <w:t>医学信息沟通专员</w:t>
            </w:r>
            <w:r>
              <w:rPr>
                <w:rFonts w:hint="eastAsia" w:ascii="微软雅黑" w:hAnsi="微软雅黑" w:eastAsia="微软雅黑" w:cs="宋体"/>
                <w:color w:val="000000"/>
                <w:kern w:val="0"/>
                <w:sz w:val="18"/>
                <w:szCs w:val="18"/>
                <w:lang w:val="en-US" w:eastAsia="zh-CN"/>
              </w:rPr>
              <w:t>-京黑吉辽</w:t>
            </w:r>
          </w:p>
        </w:tc>
        <w:tc>
          <w:tcPr>
            <w:tcW w:w="1457"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c>
          <w:tcPr>
            <w:tcW w:w="4151" w:type="dxa"/>
            <w:tcBorders>
              <w:tl2br w:val="nil"/>
              <w:tr2bl w:val="nil"/>
            </w:tcBorders>
            <w:shd w:val="clear" w:color="auto" w:fill="auto"/>
            <w:noWrap/>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en-US" w:eastAsia="zh-CN"/>
              </w:rPr>
              <w:t>北京、黑龙江、吉林、辽宁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trPr>
        <w:tc>
          <w:tcPr>
            <w:tcW w:w="1533"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营销</w:t>
            </w:r>
          </w:p>
        </w:tc>
        <w:tc>
          <w:tcPr>
            <w:tcW w:w="2539" w:type="dxa"/>
            <w:tcBorders>
              <w:tl2br w:val="nil"/>
              <w:tr2bl w:val="nil"/>
            </w:tcBorders>
            <w:shd w:val="clear" w:color="auto" w:fill="auto"/>
            <w:noWrap/>
          </w:tcPr>
          <w:p>
            <w:pPr>
              <w:widowControl/>
              <w:jc w:val="left"/>
              <w:rPr>
                <w:rFonts w:hint="default" w:ascii="微软雅黑" w:hAnsi="微软雅黑" w:eastAsia="微软雅黑" w:cs="宋体"/>
                <w:color w:val="000000"/>
                <w:kern w:val="0"/>
                <w:sz w:val="18"/>
                <w:szCs w:val="18"/>
                <w:lang w:val="en-US"/>
              </w:rPr>
            </w:pPr>
            <w:r>
              <w:rPr>
                <w:rFonts w:hint="eastAsia" w:ascii="微软雅黑" w:hAnsi="微软雅黑" w:eastAsia="微软雅黑" w:cs="宋体"/>
                <w:color w:val="000000"/>
                <w:kern w:val="0"/>
                <w:sz w:val="18"/>
                <w:szCs w:val="18"/>
              </w:rPr>
              <w:t>医学信息沟通专员</w:t>
            </w:r>
            <w:r>
              <w:rPr>
                <w:rFonts w:hint="eastAsia" w:ascii="微软雅黑" w:hAnsi="微软雅黑" w:eastAsia="微软雅黑" w:cs="宋体"/>
                <w:color w:val="000000"/>
                <w:kern w:val="0"/>
                <w:sz w:val="18"/>
                <w:szCs w:val="18"/>
                <w:lang w:val="en-US" w:eastAsia="zh-CN"/>
              </w:rPr>
              <w:t>-闽赣</w:t>
            </w:r>
          </w:p>
        </w:tc>
        <w:tc>
          <w:tcPr>
            <w:tcW w:w="1457"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c>
          <w:tcPr>
            <w:tcW w:w="4151" w:type="dxa"/>
            <w:tcBorders>
              <w:tl2br w:val="nil"/>
              <w:tr2bl w:val="nil"/>
            </w:tcBorders>
            <w:shd w:val="clear" w:color="auto" w:fill="auto"/>
            <w:noWrap/>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en-US" w:eastAsia="zh-CN"/>
              </w:rPr>
              <w:t>福建、江西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trPr>
        <w:tc>
          <w:tcPr>
            <w:tcW w:w="1533"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营销</w:t>
            </w:r>
          </w:p>
        </w:tc>
        <w:tc>
          <w:tcPr>
            <w:tcW w:w="2539" w:type="dxa"/>
            <w:tcBorders>
              <w:tl2br w:val="nil"/>
              <w:tr2bl w:val="nil"/>
            </w:tcBorders>
            <w:shd w:val="clear" w:color="auto" w:fill="auto"/>
            <w:noWrap/>
          </w:tcPr>
          <w:p>
            <w:pPr>
              <w:widowControl/>
              <w:jc w:val="left"/>
              <w:rPr>
                <w:rFonts w:hint="default" w:ascii="微软雅黑" w:hAnsi="微软雅黑" w:eastAsia="微软雅黑" w:cs="宋体"/>
                <w:color w:val="000000"/>
                <w:kern w:val="0"/>
                <w:sz w:val="18"/>
                <w:szCs w:val="18"/>
                <w:lang w:val="en-US"/>
              </w:rPr>
            </w:pPr>
            <w:r>
              <w:rPr>
                <w:rFonts w:hint="eastAsia" w:ascii="微软雅黑" w:hAnsi="微软雅黑" w:eastAsia="微软雅黑" w:cs="宋体"/>
                <w:color w:val="000000"/>
                <w:kern w:val="0"/>
                <w:sz w:val="18"/>
                <w:szCs w:val="18"/>
              </w:rPr>
              <w:t>医学信息沟通专员</w:t>
            </w:r>
            <w:r>
              <w:rPr>
                <w:rFonts w:hint="eastAsia" w:ascii="微软雅黑" w:hAnsi="微软雅黑" w:eastAsia="微软雅黑" w:cs="宋体"/>
                <w:color w:val="000000"/>
                <w:kern w:val="0"/>
                <w:sz w:val="18"/>
                <w:szCs w:val="18"/>
                <w:lang w:val="en-US" w:eastAsia="zh-CN"/>
              </w:rPr>
              <w:t>-湘鄂</w:t>
            </w:r>
          </w:p>
        </w:tc>
        <w:tc>
          <w:tcPr>
            <w:tcW w:w="1457"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c>
          <w:tcPr>
            <w:tcW w:w="4151" w:type="dxa"/>
            <w:tcBorders>
              <w:tl2br w:val="nil"/>
              <w:tr2bl w:val="nil"/>
            </w:tcBorders>
            <w:shd w:val="clear" w:color="auto" w:fill="auto"/>
            <w:noWrap/>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en-US" w:eastAsia="zh-CN"/>
              </w:rPr>
              <w:t>湖南、湖北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trPr>
        <w:tc>
          <w:tcPr>
            <w:tcW w:w="1533" w:type="dxa"/>
            <w:tcBorders>
              <w:tl2br w:val="nil"/>
              <w:tr2bl w:val="nil"/>
            </w:tcBorders>
            <w:shd w:val="clear" w:color="auto" w:fill="auto"/>
            <w:noWrap/>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营销</w:t>
            </w:r>
          </w:p>
        </w:tc>
        <w:tc>
          <w:tcPr>
            <w:tcW w:w="2539" w:type="dxa"/>
            <w:tcBorders>
              <w:tl2br w:val="nil"/>
              <w:tr2bl w:val="nil"/>
            </w:tcBorders>
            <w:shd w:val="clear" w:color="auto" w:fill="auto"/>
            <w:noWrap/>
          </w:tcPr>
          <w:p>
            <w:pPr>
              <w:widowControl/>
              <w:jc w:val="left"/>
              <w:rPr>
                <w:rFonts w:hint="default" w:ascii="微软雅黑" w:hAnsi="微软雅黑" w:eastAsia="微软雅黑" w:cs="宋体"/>
                <w:color w:val="000000"/>
                <w:kern w:val="0"/>
                <w:sz w:val="18"/>
                <w:szCs w:val="18"/>
                <w:lang w:val="en-US"/>
              </w:rPr>
            </w:pPr>
            <w:r>
              <w:rPr>
                <w:rFonts w:hint="eastAsia" w:ascii="微软雅黑" w:hAnsi="微软雅黑" w:eastAsia="微软雅黑" w:cs="宋体"/>
                <w:color w:val="000000"/>
                <w:kern w:val="0"/>
                <w:sz w:val="18"/>
                <w:szCs w:val="18"/>
              </w:rPr>
              <w:t>医学信息沟通专员</w:t>
            </w:r>
            <w:r>
              <w:rPr>
                <w:rFonts w:hint="eastAsia" w:ascii="微软雅黑" w:hAnsi="微软雅黑" w:eastAsia="微软雅黑" w:cs="宋体"/>
                <w:color w:val="000000"/>
                <w:kern w:val="0"/>
                <w:sz w:val="18"/>
                <w:szCs w:val="18"/>
                <w:lang w:val="en-US" w:eastAsia="zh-CN"/>
              </w:rPr>
              <w:t>-西南</w:t>
            </w:r>
          </w:p>
        </w:tc>
        <w:tc>
          <w:tcPr>
            <w:tcW w:w="1457" w:type="dxa"/>
            <w:tcBorders>
              <w:tl2br w:val="nil"/>
              <w:tr2bl w:val="nil"/>
            </w:tcBorders>
            <w:shd w:val="clear" w:color="auto" w:fill="auto"/>
            <w:noWrap/>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c>
          <w:tcPr>
            <w:tcW w:w="4151" w:type="dxa"/>
            <w:tcBorders>
              <w:tl2br w:val="nil"/>
              <w:tr2bl w:val="nil"/>
            </w:tcBorders>
            <w:shd w:val="clear" w:color="auto" w:fill="auto"/>
            <w:noWrap/>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en-US" w:eastAsia="zh-CN"/>
              </w:rPr>
              <w:t>云南、贵州、四川、重庆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trPr>
        <w:tc>
          <w:tcPr>
            <w:tcW w:w="1533" w:type="dxa"/>
            <w:tcBorders>
              <w:tl2br w:val="nil"/>
              <w:tr2bl w:val="nil"/>
            </w:tcBorders>
            <w:shd w:val="clear" w:color="auto" w:fill="auto"/>
            <w:noWrap/>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营销</w:t>
            </w:r>
          </w:p>
        </w:tc>
        <w:tc>
          <w:tcPr>
            <w:tcW w:w="2539" w:type="dxa"/>
            <w:tcBorders>
              <w:tl2br w:val="nil"/>
              <w:tr2bl w:val="nil"/>
            </w:tcBorders>
            <w:shd w:val="clear" w:color="auto" w:fill="auto"/>
            <w:noWrap/>
          </w:tcPr>
          <w:p>
            <w:pPr>
              <w:widowControl/>
              <w:jc w:val="left"/>
              <w:rPr>
                <w:rFonts w:hint="default" w:ascii="微软雅黑" w:hAnsi="微软雅黑" w:eastAsia="微软雅黑" w:cs="宋体"/>
                <w:color w:val="000000"/>
                <w:kern w:val="0"/>
                <w:sz w:val="18"/>
                <w:szCs w:val="18"/>
                <w:lang w:val="en-US"/>
              </w:rPr>
            </w:pPr>
            <w:r>
              <w:rPr>
                <w:rFonts w:hint="eastAsia" w:ascii="微软雅黑" w:hAnsi="微软雅黑" w:eastAsia="微软雅黑" w:cs="宋体"/>
                <w:color w:val="000000"/>
                <w:kern w:val="0"/>
                <w:sz w:val="18"/>
                <w:szCs w:val="18"/>
              </w:rPr>
              <w:t>医学信息沟通专员</w:t>
            </w:r>
            <w:r>
              <w:rPr>
                <w:rFonts w:hint="eastAsia" w:ascii="微软雅黑" w:hAnsi="微软雅黑" w:eastAsia="微软雅黑" w:cs="宋体"/>
                <w:color w:val="000000"/>
                <w:kern w:val="0"/>
                <w:sz w:val="18"/>
                <w:szCs w:val="18"/>
                <w:lang w:val="en-US" w:eastAsia="zh-CN"/>
              </w:rPr>
              <w:t>-西北</w:t>
            </w:r>
          </w:p>
        </w:tc>
        <w:tc>
          <w:tcPr>
            <w:tcW w:w="1457" w:type="dxa"/>
            <w:tcBorders>
              <w:tl2br w:val="nil"/>
              <w:tr2bl w:val="nil"/>
            </w:tcBorders>
            <w:shd w:val="clear" w:color="auto" w:fill="auto"/>
            <w:noWrap/>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c>
          <w:tcPr>
            <w:tcW w:w="4151" w:type="dxa"/>
            <w:tcBorders>
              <w:tl2br w:val="nil"/>
              <w:tr2bl w:val="nil"/>
            </w:tcBorders>
            <w:shd w:val="clear" w:color="auto" w:fill="auto"/>
            <w:noWrap/>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en-US" w:eastAsia="zh-CN"/>
              </w:rPr>
              <w:t>甘肃、宁夏、山西、青海、新疆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trPr>
        <w:tc>
          <w:tcPr>
            <w:tcW w:w="1533" w:type="dxa"/>
            <w:tcBorders>
              <w:tl2br w:val="nil"/>
              <w:tr2bl w:val="nil"/>
            </w:tcBorders>
            <w:shd w:val="clear" w:color="auto" w:fill="auto"/>
            <w:noWrap/>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营销</w:t>
            </w:r>
          </w:p>
        </w:tc>
        <w:tc>
          <w:tcPr>
            <w:tcW w:w="2539" w:type="dxa"/>
            <w:tcBorders>
              <w:tl2br w:val="nil"/>
              <w:tr2bl w:val="nil"/>
            </w:tcBorders>
            <w:shd w:val="clear" w:color="auto" w:fill="auto"/>
            <w:noWrap/>
          </w:tcPr>
          <w:p>
            <w:pPr>
              <w:widowControl/>
              <w:jc w:val="left"/>
              <w:rPr>
                <w:rFonts w:hint="default" w:ascii="微软雅黑" w:hAnsi="微软雅黑" w:eastAsia="微软雅黑" w:cs="宋体"/>
                <w:color w:val="000000"/>
                <w:kern w:val="0"/>
                <w:sz w:val="18"/>
                <w:szCs w:val="18"/>
                <w:lang w:val="en-US"/>
              </w:rPr>
            </w:pPr>
            <w:r>
              <w:rPr>
                <w:rFonts w:hint="eastAsia" w:ascii="微软雅黑" w:hAnsi="微软雅黑" w:eastAsia="微软雅黑" w:cs="宋体"/>
                <w:color w:val="000000"/>
                <w:kern w:val="0"/>
                <w:sz w:val="18"/>
                <w:szCs w:val="18"/>
              </w:rPr>
              <w:t>医学信息沟通专员</w:t>
            </w:r>
            <w:r>
              <w:rPr>
                <w:rFonts w:hint="eastAsia" w:ascii="微软雅黑" w:hAnsi="微软雅黑" w:eastAsia="微软雅黑" w:cs="宋体"/>
                <w:color w:val="000000"/>
                <w:kern w:val="0"/>
                <w:sz w:val="18"/>
                <w:szCs w:val="18"/>
                <w:lang w:val="en-US" w:eastAsia="zh-CN"/>
              </w:rPr>
              <w:t>-皖豫</w:t>
            </w:r>
          </w:p>
        </w:tc>
        <w:tc>
          <w:tcPr>
            <w:tcW w:w="1457" w:type="dxa"/>
            <w:tcBorders>
              <w:tl2br w:val="nil"/>
              <w:tr2bl w:val="nil"/>
            </w:tcBorders>
            <w:shd w:val="clear" w:color="auto" w:fill="auto"/>
            <w:noWrap/>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c>
          <w:tcPr>
            <w:tcW w:w="4151" w:type="dxa"/>
            <w:tcBorders>
              <w:tl2br w:val="nil"/>
              <w:tr2bl w:val="nil"/>
            </w:tcBorders>
            <w:shd w:val="clear" w:color="auto" w:fill="auto"/>
            <w:noWrap/>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en-US" w:eastAsia="zh-CN"/>
              </w:rPr>
              <w:t>安徽、河南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trPr>
        <w:tc>
          <w:tcPr>
            <w:tcW w:w="1533"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en-US" w:eastAsia="zh-CN"/>
              </w:rPr>
              <w:t>零售基层事业部</w:t>
            </w:r>
          </w:p>
        </w:tc>
        <w:tc>
          <w:tcPr>
            <w:tcW w:w="2539"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en-US" w:eastAsia="zh-CN"/>
              </w:rPr>
              <w:t>品牌推广专员</w:t>
            </w:r>
          </w:p>
        </w:tc>
        <w:tc>
          <w:tcPr>
            <w:tcW w:w="1457"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c>
          <w:tcPr>
            <w:tcW w:w="4151"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en-US" w:eastAsia="zh-CN"/>
              </w:rPr>
              <w:t>全国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trPr>
        <w:tc>
          <w:tcPr>
            <w:tcW w:w="1533"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lang w:val="en-US" w:eastAsia="zh-CN"/>
              </w:rPr>
              <w:t>零售基层事业部</w:t>
            </w:r>
          </w:p>
        </w:tc>
        <w:tc>
          <w:tcPr>
            <w:tcW w:w="2539" w:type="dxa"/>
            <w:tcBorders>
              <w:tl2br w:val="nil"/>
              <w:tr2bl w:val="nil"/>
            </w:tcBorders>
            <w:shd w:val="clear" w:color="auto" w:fill="auto"/>
            <w:noWrap/>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en-US" w:eastAsia="zh-CN"/>
              </w:rPr>
              <w:t>院外终端推广专员</w:t>
            </w:r>
          </w:p>
        </w:tc>
        <w:tc>
          <w:tcPr>
            <w:tcW w:w="1457"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本科及以上</w:t>
            </w:r>
          </w:p>
        </w:tc>
        <w:tc>
          <w:tcPr>
            <w:tcW w:w="4151" w:type="dxa"/>
            <w:tcBorders>
              <w:tl2br w:val="nil"/>
              <w:tr2bl w:val="nil"/>
            </w:tcBorders>
            <w:shd w:val="clear" w:color="auto" w:fill="auto"/>
            <w:noWrap/>
          </w:tcPr>
          <w:p>
            <w:pPr>
              <w:widowControl/>
              <w:jc w:val="left"/>
              <w:rPr>
                <w:rFonts w:hint="eastAsia"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en-US" w:eastAsia="zh-CN"/>
              </w:rPr>
              <w:t>全国</w:t>
            </w:r>
            <w:bookmarkStart w:id="0" w:name="_GoBack"/>
            <w:bookmarkEnd w:id="0"/>
          </w:p>
        </w:tc>
      </w:tr>
    </w:tbl>
    <w:p>
      <w:pPr>
        <w:pStyle w:val="15"/>
        <w:numPr>
          <w:ilvl w:val="0"/>
          <w:numId w:val="2"/>
        </w:numPr>
        <w:tabs>
          <w:tab w:val="left" w:pos="567"/>
        </w:tabs>
        <w:ind w:firstLineChars="0"/>
        <w:rPr>
          <w:rFonts w:ascii="微软雅黑" w:hAnsi="微软雅黑" w:eastAsia="微软雅黑"/>
          <w:b/>
          <w:sz w:val="24"/>
          <w:szCs w:val="24"/>
        </w:rPr>
      </w:pPr>
      <w:r>
        <w:rPr>
          <w:rFonts w:hint="eastAsia" w:ascii="微软雅黑" w:hAnsi="微软雅黑" w:eastAsia="微软雅黑"/>
          <w:b/>
          <w:sz w:val="24"/>
          <w:szCs w:val="24"/>
        </w:rPr>
        <w:t>职业发展</w:t>
      </w:r>
    </w:p>
    <w:p>
      <w:pPr>
        <w:pStyle w:val="5"/>
        <w:spacing w:line="400" w:lineRule="exact"/>
        <w:ind w:firstLine="420" w:firstLineChars="200"/>
        <w:rPr>
          <w:rFonts w:ascii="微软雅黑" w:hAnsi="微软雅黑" w:eastAsia="微软雅黑" w:cs="Helvetica"/>
          <w:color w:val="000000"/>
          <w:sz w:val="21"/>
          <w:szCs w:val="21"/>
        </w:rPr>
      </w:pPr>
      <w:r>
        <w:rPr>
          <w:rFonts w:hint="eastAsia" w:ascii="微软雅黑" w:hAnsi="微软雅黑" w:eastAsia="微软雅黑" w:cs="Helvetica"/>
          <w:color w:val="000000"/>
          <w:sz w:val="21"/>
          <w:szCs w:val="21"/>
        </w:rPr>
        <w:t>培训发展：先声学院为每一类岗位设置了完善的培训培养体系和学习课程，系统专业化技能培训和实践类课程帮助新同事在职业成长之路夯实基础。</w:t>
      </w:r>
    </w:p>
    <w:p>
      <w:pPr>
        <w:pStyle w:val="5"/>
        <w:spacing w:line="400" w:lineRule="exact"/>
        <w:ind w:firstLine="420" w:firstLineChars="200"/>
        <w:rPr>
          <w:rFonts w:ascii="微软雅黑" w:hAnsi="微软雅黑" w:eastAsia="微软雅黑" w:cs="Helvetica"/>
          <w:color w:val="000000"/>
          <w:sz w:val="21"/>
          <w:szCs w:val="21"/>
        </w:rPr>
      </w:pPr>
      <w:r>
        <w:rPr>
          <w:rFonts w:hint="eastAsia" w:ascii="微软雅黑" w:hAnsi="微软雅黑" w:eastAsia="微软雅黑" w:cs="Helvetica"/>
          <w:color w:val="000000"/>
          <w:sz w:val="21"/>
          <w:szCs w:val="21"/>
        </w:rPr>
        <w:t>导师带教：系统完善的导师带教机制、经验丰富的专业导师、具有国际视野的高管导航，全方位的专业导师带教与辅导帮助应届生从校园到职场的顺利转身。</w:t>
      </w:r>
    </w:p>
    <w:p>
      <w:pPr>
        <w:pStyle w:val="5"/>
        <w:spacing w:line="400" w:lineRule="exact"/>
        <w:ind w:firstLine="420" w:firstLineChars="200"/>
        <w:rPr>
          <w:rFonts w:ascii="微软雅黑" w:hAnsi="微软雅黑" w:eastAsia="微软雅黑" w:cs="Helvetica"/>
          <w:color w:val="000000"/>
          <w:sz w:val="21"/>
          <w:szCs w:val="21"/>
        </w:rPr>
      </w:pPr>
      <w:r>
        <w:rPr>
          <w:rFonts w:hint="eastAsia" w:ascii="微软雅黑" w:hAnsi="微软雅黑" w:eastAsia="微软雅黑" w:cs="Helvetica"/>
          <w:color w:val="000000"/>
          <w:sz w:val="21"/>
          <w:szCs w:val="21"/>
        </w:rPr>
        <w:t>晋级晋升：公开、公正、透明的晋级晋升机制、技术和管理双通道的职业发展路径，量身定制的职业发展计划为每一位员工的职业发展树立明确的发展目标以及提供可实现的平台。</w:t>
      </w:r>
    </w:p>
    <w:p>
      <w:pPr>
        <w:pStyle w:val="5"/>
        <w:spacing w:line="400" w:lineRule="exact"/>
        <w:ind w:firstLine="420" w:firstLineChars="200"/>
        <w:rPr>
          <w:rFonts w:ascii="微软雅黑" w:hAnsi="微软雅黑" w:eastAsia="微软雅黑" w:cs="Helvetica"/>
          <w:color w:val="000000"/>
          <w:sz w:val="21"/>
          <w:szCs w:val="21"/>
        </w:rPr>
      </w:pPr>
      <w:r>
        <w:rPr>
          <w:rFonts w:hint="eastAsia" w:ascii="微软雅黑" w:hAnsi="微软雅黑" w:eastAsia="微软雅黑" w:cs="Helvetica"/>
          <w:color w:val="000000"/>
          <w:sz w:val="21"/>
          <w:szCs w:val="21"/>
        </w:rPr>
        <w:t>轮岗转岗：“内部人才市场”为你提供全方位发展机会，跨部门学习、轮岗锻炼让优秀员工在组织能拥有更多可能职业发展的机会。</w:t>
      </w:r>
    </w:p>
    <w:p>
      <w:pPr>
        <w:pStyle w:val="5"/>
        <w:spacing w:line="400" w:lineRule="exact"/>
        <w:ind w:firstLine="420" w:firstLineChars="200"/>
        <w:rPr>
          <w:rFonts w:ascii="微软雅黑" w:hAnsi="微软雅黑" w:eastAsia="微软雅黑" w:cs="Helvetica"/>
          <w:color w:val="000000"/>
          <w:sz w:val="21"/>
          <w:szCs w:val="21"/>
        </w:rPr>
      </w:pPr>
      <w:r>
        <w:rPr>
          <w:rFonts w:hint="eastAsia" w:ascii="微软雅黑" w:hAnsi="微软雅黑" w:eastAsia="微软雅黑" w:cs="Helvetica"/>
          <w:color w:val="000000"/>
          <w:sz w:val="21"/>
          <w:szCs w:val="21"/>
        </w:rPr>
        <w:t>温馨氛围：求索论坛、科学角、同频共振等学习研讨和分享交流活动帮助大家在探索中成长，各种家庭日、团队建设等丰富多彩的活动又能让大家挑战职场目标的同时感受更多温暖。</w:t>
      </w:r>
    </w:p>
    <w:p>
      <w:pPr>
        <w:pStyle w:val="15"/>
        <w:tabs>
          <w:tab w:val="left" w:pos="567"/>
        </w:tabs>
        <w:ind w:left="420" w:firstLine="0" w:firstLineChars="0"/>
        <w:rPr>
          <w:rFonts w:ascii="微软雅黑" w:hAnsi="微软雅黑" w:eastAsia="微软雅黑"/>
          <w:b/>
          <w:sz w:val="24"/>
          <w:szCs w:val="24"/>
        </w:rPr>
      </w:pPr>
    </w:p>
    <w:p>
      <w:pPr>
        <w:pStyle w:val="15"/>
        <w:numPr>
          <w:ilvl w:val="0"/>
          <w:numId w:val="2"/>
        </w:numPr>
        <w:tabs>
          <w:tab w:val="left" w:pos="567"/>
        </w:tabs>
        <w:ind w:firstLineChars="0"/>
        <w:rPr>
          <w:rFonts w:ascii="微软雅黑" w:hAnsi="微软雅黑" w:eastAsia="微软雅黑"/>
          <w:b/>
          <w:sz w:val="24"/>
          <w:szCs w:val="24"/>
        </w:rPr>
      </w:pPr>
      <w:r>
        <w:rPr>
          <w:rFonts w:hint="eastAsia" w:ascii="微软雅黑" w:hAnsi="微软雅黑" w:eastAsia="微软雅黑"/>
          <w:b/>
          <w:sz w:val="24"/>
          <w:szCs w:val="24"/>
        </w:rPr>
        <w:t>薪资福利</w:t>
      </w:r>
    </w:p>
    <w:p>
      <w:pPr>
        <w:pStyle w:val="5"/>
        <w:spacing w:line="400" w:lineRule="exact"/>
        <w:ind w:left="420"/>
        <w:rPr>
          <w:rFonts w:ascii="微软雅黑" w:hAnsi="微软雅黑" w:eastAsia="微软雅黑" w:cs="Helvetica"/>
          <w:color w:val="000000"/>
          <w:sz w:val="21"/>
          <w:szCs w:val="21"/>
        </w:rPr>
      </w:pPr>
      <w:r>
        <w:rPr>
          <w:rFonts w:hint="eastAsia" w:ascii="微软雅黑" w:hAnsi="微软雅黑" w:eastAsia="微软雅黑" w:cs="Helvetica"/>
          <w:color w:val="000000"/>
          <w:sz w:val="21"/>
          <w:szCs w:val="21"/>
        </w:rPr>
        <w:t>薪酬福利：行业内极具竞争力的</w:t>
      </w:r>
      <w:r>
        <w:rPr>
          <w:rFonts w:ascii="微软雅黑" w:hAnsi="微软雅黑" w:eastAsia="微软雅黑" w:cs="Helvetica"/>
          <w:color w:val="000000"/>
          <w:sz w:val="21"/>
          <w:szCs w:val="21"/>
        </w:rPr>
        <w:t>薪资水平</w:t>
      </w:r>
      <w:r>
        <w:rPr>
          <w:rFonts w:hint="eastAsia" w:ascii="微软雅黑" w:hAnsi="微软雅黑" w:eastAsia="微软雅黑" w:cs="Helvetica"/>
          <w:color w:val="000000"/>
          <w:sz w:val="21"/>
          <w:szCs w:val="21"/>
        </w:rPr>
        <w:t>、</w:t>
      </w:r>
      <w:r>
        <w:rPr>
          <w:rFonts w:ascii="微软雅黑" w:hAnsi="微软雅黑" w:eastAsia="微软雅黑" w:cs="Helvetica"/>
          <w:color w:val="000000"/>
          <w:sz w:val="21"/>
          <w:szCs w:val="21"/>
        </w:rPr>
        <w:t>系统性</w:t>
      </w:r>
      <w:r>
        <w:rPr>
          <w:rFonts w:hint="eastAsia" w:ascii="微软雅黑" w:hAnsi="微软雅黑" w:eastAsia="微软雅黑" w:cs="Helvetica"/>
          <w:color w:val="000000"/>
          <w:sz w:val="21"/>
          <w:szCs w:val="21"/>
        </w:rPr>
        <w:t>的</w:t>
      </w:r>
      <w:r>
        <w:rPr>
          <w:rFonts w:ascii="微软雅黑" w:hAnsi="微软雅黑" w:eastAsia="微软雅黑" w:cs="Helvetica"/>
          <w:color w:val="000000"/>
          <w:sz w:val="21"/>
          <w:szCs w:val="21"/>
        </w:rPr>
        <w:t>调薪机制</w:t>
      </w:r>
      <w:r>
        <w:rPr>
          <w:rFonts w:hint="eastAsia" w:ascii="微软雅黑" w:hAnsi="微软雅黑" w:eastAsia="微软雅黑" w:cs="Helvetica"/>
          <w:color w:val="000000"/>
          <w:sz w:val="21"/>
          <w:szCs w:val="21"/>
        </w:rPr>
        <w:t>、</w:t>
      </w:r>
      <w:r>
        <w:rPr>
          <w:rFonts w:ascii="微软雅黑" w:hAnsi="微软雅黑" w:eastAsia="微软雅黑" w:cs="Helvetica"/>
          <w:color w:val="000000"/>
          <w:sz w:val="21"/>
          <w:szCs w:val="21"/>
        </w:rPr>
        <w:t>全方位的福利保障</w:t>
      </w:r>
      <w:r>
        <w:rPr>
          <w:rFonts w:hint="eastAsia" w:ascii="微软雅黑" w:hAnsi="微软雅黑" w:eastAsia="微软雅黑" w:cs="Helvetica"/>
          <w:color w:val="000000"/>
          <w:sz w:val="21"/>
          <w:szCs w:val="21"/>
        </w:rPr>
        <w:t>、丰富多样的荣誉激励，如五险一金、各类节假日福利、员工关爱基金、意外伤害医疗保险、子女医疗保险等让每员工的每一分付出都值得期待。</w:t>
      </w:r>
    </w:p>
    <w:p>
      <w:pPr>
        <w:pStyle w:val="15"/>
        <w:numPr>
          <w:ilvl w:val="0"/>
          <w:numId w:val="2"/>
        </w:numPr>
        <w:tabs>
          <w:tab w:val="left" w:pos="567"/>
        </w:tabs>
        <w:ind w:firstLineChars="0"/>
        <w:rPr>
          <w:rFonts w:ascii="微软雅黑" w:hAnsi="微软雅黑" w:eastAsia="微软雅黑"/>
          <w:b/>
          <w:sz w:val="24"/>
          <w:szCs w:val="24"/>
        </w:rPr>
      </w:pPr>
      <w:r>
        <w:rPr>
          <w:rFonts w:hint="eastAsia" w:ascii="微软雅黑" w:hAnsi="微软雅黑" w:eastAsia="微软雅黑"/>
          <w:b/>
          <w:sz w:val="24"/>
          <w:szCs w:val="24"/>
        </w:rPr>
        <w:t>应聘须知</w:t>
      </w:r>
    </w:p>
    <w:p>
      <w:pPr>
        <w:pStyle w:val="5"/>
        <w:numPr>
          <w:ilvl w:val="0"/>
          <w:numId w:val="3"/>
        </w:numPr>
        <w:spacing w:before="0" w:beforeAutospacing="0" w:after="0" w:afterAutospacing="0" w:line="400" w:lineRule="exact"/>
        <w:jc w:val="both"/>
        <w:rPr>
          <w:rFonts w:ascii="微软雅黑" w:hAnsi="微软雅黑" w:eastAsia="微软雅黑" w:cs="Helvetica"/>
          <w:color w:val="000000"/>
          <w:sz w:val="21"/>
          <w:szCs w:val="21"/>
        </w:rPr>
      </w:pPr>
      <w:r>
        <w:rPr>
          <w:rFonts w:hint="eastAsia" w:ascii="微软雅黑" w:hAnsi="微软雅黑" w:eastAsia="微软雅黑"/>
          <w:b/>
          <w:bCs/>
          <w:color w:val="000000"/>
          <w:sz w:val="21"/>
          <w:szCs w:val="21"/>
        </w:rPr>
        <w:t>网申时间：</w:t>
      </w:r>
      <w:r>
        <w:rPr>
          <w:rFonts w:ascii="微软雅黑" w:hAnsi="微软雅黑" w:eastAsia="微软雅黑" w:cs="Helvetica"/>
          <w:color w:val="000000"/>
          <w:sz w:val="21"/>
          <w:szCs w:val="21"/>
        </w:rPr>
        <w:t>2022</w:t>
      </w:r>
      <w:r>
        <w:rPr>
          <w:rFonts w:hint="eastAsia" w:ascii="微软雅黑" w:hAnsi="微软雅黑" w:eastAsia="微软雅黑" w:cs="Helvetica"/>
          <w:color w:val="000000"/>
          <w:sz w:val="21"/>
          <w:szCs w:val="21"/>
        </w:rPr>
        <w:t>年</w:t>
      </w:r>
      <w:r>
        <w:rPr>
          <w:rFonts w:ascii="微软雅黑" w:hAnsi="微软雅黑" w:eastAsia="微软雅黑" w:cs="Helvetica"/>
          <w:color w:val="000000"/>
          <w:sz w:val="21"/>
          <w:szCs w:val="21"/>
        </w:rPr>
        <w:t>1</w:t>
      </w:r>
      <w:r>
        <w:rPr>
          <w:rFonts w:hint="eastAsia" w:ascii="微软雅黑" w:hAnsi="微软雅黑" w:eastAsia="微软雅黑" w:cs="Helvetica"/>
          <w:color w:val="000000"/>
          <w:sz w:val="21"/>
          <w:szCs w:val="21"/>
        </w:rPr>
        <w:t>月-</w:t>
      </w:r>
      <w:r>
        <w:rPr>
          <w:rFonts w:ascii="微软雅黑" w:hAnsi="微软雅黑" w:eastAsia="微软雅黑" w:cs="Helvetica"/>
          <w:color w:val="000000"/>
          <w:sz w:val="21"/>
          <w:szCs w:val="21"/>
        </w:rPr>
        <w:t>2022</w:t>
      </w:r>
      <w:r>
        <w:rPr>
          <w:rFonts w:hint="eastAsia" w:ascii="微软雅黑" w:hAnsi="微软雅黑" w:eastAsia="微软雅黑" w:cs="Helvetica"/>
          <w:color w:val="000000"/>
          <w:sz w:val="21"/>
          <w:szCs w:val="21"/>
        </w:rPr>
        <w:t>年</w:t>
      </w:r>
      <w:r>
        <w:rPr>
          <w:rFonts w:ascii="微软雅黑" w:hAnsi="微软雅黑" w:eastAsia="微软雅黑" w:cs="Helvetica"/>
          <w:color w:val="000000"/>
          <w:sz w:val="21"/>
          <w:szCs w:val="21"/>
        </w:rPr>
        <w:t>4</w:t>
      </w:r>
      <w:r>
        <w:rPr>
          <w:rFonts w:hint="eastAsia" w:ascii="微软雅黑" w:hAnsi="微软雅黑" w:eastAsia="微软雅黑" w:cs="Helvetica"/>
          <w:color w:val="000000"/>
          <w:sz w:val="21"/>
          <w:szCs w:val="21"/>
        </w:rPr>
        <w:t>月；</w:t>
      </w:r>
    </w:p>
    <w:p>
      <w:pPr>
        <w:pStyle w:val="5"/>
        <w:numPr>
          <w:ilvl w:val="0"/>
          <w:numId w:val="3"/>
        </w:numPr>
        <w:spacing w:before="0" w:beforeAutospacing="0" w:after="0" w:afterAutospacing="0" w:line="400" w:lineRule="exact"/>
        <w:jc w:val="both"/>
        <w:rPr>
          <w:rFonts w:ascii="微软雅黑" w:hAnsi="微软雅黑" w:eastAsia="微软雅黑" w:cs="Helvetica"/>
          <w:color w:val="000000"/>
          <w:sz w:val="21"/>
          <w:szCs w:val="21"/>
        </w:rPr>
      </w:pPr>
      <w:r>
        <w:rPr>
          <w:rFonts w:hint="eastAsia" w:ascii="微软雅黑" w:hAnsi="微软雅黑" w:eastAsia="微软雅黑"/>
          <w:b/>
          <w:bCs/>
          <w:color w:val="000000"/>
          <w:sz w:val="21"/>
          <w:szCs w:val="21"/>
        </w:rPr>
        <w:t>面向对象：</w:t>
      </w:r>
    </w:p>
    <w:p>
      <w:pPr>
        <w:pStyle w:val="5"/>
        <w:spacing w:before="0" w:beforeAutospacing="0" w:after="0" w:afterAutospacing="0" w:line="400" w:lineRule="exact"/>
        <w:ind w:left="360"/>
        <w:jc w:val="both"/>
        <w:rPr>
          <w:rFonts w:ascii="微软雅黑" w:hAnsi="微软雅黑" w:eastAsia="微软雅黑" w:cs="Helvetica"/>
          <w:color w:val="000000"/>
          <w:sz w:val="21"/>
          <w:szCs w:val="21"/>
        </w:rPr>
      </w:pPr>
      <w:r>
        <w:rPr>
          <w:rFonts w:hint="eastAsia" w:ascii="微软雅黑" w:hAnsi="微软雅黑" w:eastAsia="微软雅黑" w:cs="Helvetica"/>
          <w:color w:val="000000"/>
          <w:sz w:val="21"/>
          <w:szCs w:val="21"/>
        </w:rPr>
        <w:t>2</w:t>
      </w:r>
      <w:r>
        <w:rPr>
          <w:rFonts w:ascii="微软雅黑" w:hAnsi="微软雅黑" w:eastAsia="微软雅黑" w:cs="Helvetica"/>
          <w:color w:val="000000"/>
          <w:sz w:val="21"/>
          <w:szCs w:val="21"/>
        </w:rPr>
        <w:t>022</w:t>
      </w:r>
      <w:r>
        <w:rPr>
          <w:rFonts w:hint="eastAsia" w:ascii="微软雅黑" w:hAnsi="微软雅黑" w:eastAsia="微软雅黑" w:cs="Helvetica"/>
          <w:color w:val="000000"/>
          <w:sz w:val="21"/>
          <w:szCs w:val="21"/>
        </w:rPr>
        <w:t>年1月</w:t>
      </w:r>
      <w:r>
        <w:rPr>
          <w:rFonts w:ascii="微软雅黑" w:hAnsi="微软雅黑" w:eastAsia="微软雅黑" w:cs="Helvetica"/>
          <w:color w:val="000000"/>
          <w:sz w:val="21"/>
          <w:szCs w:val="21"/>
        </w:rPr>
        <w:t>-12</w:t>
      </w:r>
      <w:r>
        <w:rPr>
          <w:rFonts w:hint="eastAsia" w:ascii="微软雅黑" w:hAnsi="微软雅黑" w:eastAsia="微软雅黑" w:cs="Helvetica"/>
          <w:color w:val="000000"/>
          <w:sz w:val="21"/>
          <w:szCs w:val="21"/>
        </w:rPr>
        <w:t>月间毕业的中国大陆学生和2</w:t>
      </w:r>
      <w:r>
        <w:rPr>
          <w:rFonts w:ascii="微软雅黑" w:hAnsi="微软雅黑" w:eastAsia="微软雅黑" w:cs="Helvetica"/>
          <w:color w:val="000000"/>
          <w:sz w:val="21"/>
          <w:szCs w:val="21"/>
        </w:rPr>
        <w:t>021</w:t>
      </w:r>
      <w:r>
        <w:rPr>
          <w:rFonts w:hint="eastAsia" w:ascii="微软雅黑" w:hAnsi="微软雅黑" w:eastAsia="微软雅黑" w:cs="Helvetica"/>
          <w:color w:val="000000"/>
          <w:sz w:val="21"/>
          <w:szCs w:val="21"/>
        </w:rPr>
        <w:t>年1月-</w:t>
      </w:r>
      <w:r>
        <w:rPr>
          <w:rFonts w:ascii="微软雅黑" w:hAnsi="微软雅黑" w:eastAsia="微软雅黑" w:cs="Helvetica"/>
          <w:color w:val="000000"/>
          <w:sz w:val="21"/>
          <w:szCs w:val="21"/>
        </w:rPr>
        <w:t>2022</w:t>
      </w:r>
      <w:r>
        <w:rPr>
          <w:rFonts w:hint="eastAsia" w:ascii="微软雅黑" w:hAnsi="微软雅黑" w:eastAsia="微软雅黑" w:cs="Helvetica"/>
          <w:color w:val="000000"/>
          <w:sz w:val="21"/>
          <w:szCs w:val="21"/>
        </w:rPr>
        <w:t>年1</w:t>
      </w:r>
      <w:r>
        <w:rPr>
          <w:rFonts w:ascii="微软雅黑" w:hAnsi="微软雅黑" w:eastAsia="微软雅黑" w:cs="Helvetica"/>
          <w:color w:val="000000"/>
          <w:sz w:val="21"/>
          <w:szCs w:val="21"/>
        </w:rPr>
        <w:t>2</w:t>
      </w:r>
      <w:r>
        <w:rPr>
          <w:rFonts w:hint="eastAsia" w:ascii="微软雅黑" w:hAnsi="微软雅黑" w:eastAsia="微软雅黑" w:cs="Helvetica"/>
          <w:color w:val="000000"/>
          <w:sz w:val="21"/>
          <w:szCs w:val="21"/>
        </w:rPr>
        <w:t>月间毕业的中国港澳台及海外院校学生；</w:t>
      </w:r>
    </w:p>
    <w:p>
      <w:pPr>
        <w:pStyle w:val="5"/>
        <w:spacing w:before="0" w:beforeAutospacing="0" w:after="0" w:afterAutospacing="0" w:line="400" w:lineRule="exact"/>
        <w:rPr>
          <w:rFonts w:ascii="微软雅黑" w:hAnsi="微软雅黑" w:eastAsia="微软雅黑"/>
          <w:b/>
          <w:bCs/>
          <w:color w:val="000000"/>
          <w:sz w:val="21"/>
          <w:szCs w:val="21"/>
        </w:rPr>
      </w:pPr>
      <w:r>
        <w:rPr>
          <w:rFonts w:ascii="微软雅黑" w:hAnsi="微软雅黑" w:eastAsia="微软雅黑"/>
          <w:b/>
          <w:bCs/>
          <w:color w:val="000000"/>
          <w:sz w:val="21"/>
          <w:szCs w:val="21"/>
        </w:rPr>
        <w:t>3</w:t>
      </w:r>
      <w:r>
        <w:rPr>
          <w:rFonts w:hint="eastAsia" w:ascii="微软雅黑" w:hAnsi="微软雅黑" w:eastAsia="微软雅黑"/>
          <w:b/>
          <w:bCs/>
          <w:color w:val="000000"/>
          <w:sz w:val="21"/>
          <w:szCs w:val="21"/>
        </w:rPr>
        <w:t>、简历</w:t>
      </w:r>
      <w:r>
        <w:rPr>
          <w:rFonts w:ascii="微软雅黑" w:hAnsi="微软雅黑" w:eastAsia="微软雅黑"/>
          <w:b/>
          <w:bCs/>
          <w:color w:val="000000"/>
          <w:sz w:val="21"/>
          <w:szCs w:val="21"/>
        </w:rPr>
        <w:t>投递方式：</w:t>
      </w:r>
    </w:p>
    <w:p>
      <w:pPr>
        <w:pStyle w:val="5"/>
        <w:spacing w:before="0" w:beforeAutospacing="0" w:after="0" w:afterAutospacing="0" w:line="400" w:lineRule="exact"/>
        <w:rPr>
          <w:rFonts w:ascii="微软雅黑" w:hAnsi="微软雅黑" w:eastAsia="微软雅黑"/>
          <w:bCs/>
          <w:color w:val="000000"/>
          <w:sz w:val="21"/>
          <w:szCs w:val="21"/>
        </w:rPr>
      </w:pPr>
      <w:r>
        <w:rPr>
          <w:rFonts w:hint="eastAsia" w:ascii="微软雅黑" w:hAnsi="微软雅黑" w:eastAsia="微软雅黑"/>
          <w:b/>
          <w:bCs/>
          <w:color w:val="000000"/>
          <w:sz w:val="21"/>
          <w:szCs w:val="21"/>
        </w:rPr>
        <w:t>（1）校园招聘官网（简历投递网址）：</w:t>
      </w:r>
      <w:r>
        <w:rPr>
          <w:rFonts w:ascii="微软雅黑" w:hAnsi="微软雅黑" w:eastAsia="微软雅黑"/>
          <w:bCs/>
          <w:color w:val="000000"/>
          <w:sz w:val="21"/>
          <w:szCs w:val="21"/>
        </w:rPr>
        <w:t xml:space="preserve"> </w:t>
      </w:r>
      <w:r>
        <w:fldChar w:fldCharType="begin"/>
      </w:r>
      <w:r>
        <w:instrText xml:space="preserve"> HYPERLINK "http://www.hotjob.cn/wt/simcere/web/index/campus" </w:instrText>
      </w:r>
      <w:r>
        <w:fldChar w:fldCharType="separate"/>
      </w:r>
      <w:r>
        <w:rPr>
          <w:rStyle w:val="12"/>
          <w:rFonts w:ascii="微软雅黑" w:hAnsi="微软雅黑" w:eastAsia="微软雅黑"/>
          <w:bCs/>
          <w:sz w:val="21"/>
          <w:szCs w:val="21"/>
        </w:rPr>
        <w:t>http://www.hotjob.cn/wt/simcere/web/index/campus</w:t>
      </w:r>
      <w:r>
        <w:rPr>
          <w:rStyle w:val="12"/>
          <w:rFonts w:ascii="微软雅黑" w:hAnsi="微软雅黑" w:eastAsia="微软雅黑"/>
          <w:bCs/>
          <w:sz w:val="21"/>
          <w:szCs w:val="21"/>
        </w:rPr>
        <w:fldChar w:fldCharType="end"/>
      </w:r>
    </w:p>
    <w:p>
      <w:pPr>
        <w:pStyle w:val="5"/>
        <w:spacing w:before="0" w:beforeAutospacing="0" w:after="0" w:afterAutospacing="0" w:line="400" w:lineRule="exact"/>
        <w:rPr>
          <w:rFonts w:ascii="微软雅黑" w:hAnsi="微软雅黑" w:eastAsia="微软雅黑"/>
          <w:b/>
          <w:bCs/>
          <w:color w:val="000000"/>
          <w:sz w:val="21"/>
          <w:szCs w:val="21"/>
        </w:rPr>
      </w:pPr>
      <w:r>
        <w:rPr>
          <w:rFonts w:hint="eastAsia" w:ascii="微软雅黑" w:hAnsi="微软雅黑" w:eastAsia="微软雅黑"/>
          <w:b/>
          <w:bCs/>
          <w:color w:val="000000"/>
          <w:sz w:val="21"/>
          <w:szCs w:val="21"/>
        </w:rPr>
        <w:t>（2）招聘</w:t>
      </w:r>
      <w:r>
        <w:rPr>
          <w:rFonts w:ascii="微软雅黑" w:hAnsi="微软雅黑" w:eastAsia="微软雅黑"/>
          <w:b/>
          <w:bCs/>
          <w:color w:val="000000"/>
          <w:sz w:val="21"/>
          <w:szCs w:val="21"/>
        </w:rPr>
        <w:t>公众号：先声药业招聘</w:t>
      </w:r>
    </w:p>
    <w:p>
      <w:pPr>
        <w:pStyle w:val="5"/>
        <w:spacing w:before="0" w:beforeAutospacing="0" w:after="0" w:afterAutospacing="0" w:line="400" w:lineRule="exact"/>
        <w:jc w:val="both"/>
        <w:rPr>
          <w:rFonts w:ascii="微软雅黑" w:hAnsi="微软雅黑" w:eastAsia="微软雅黑" w:cs="Helvetica"/>
          <w:color w:val="000000"/>
          <w:sz w:val="21"/>
          <w:szCs w:val="21"/>
        </w:rPr>
      </w:pPr>
      <w:r>
        <w:rPr>
          <w:rFonts w:ascii="微软雅黑" w:hAnsi="微软雅黑" w:eastAsia="微软雅黑"/>
          <w:b/>
          <w:bCs/>
          <w:color w:val="000000"/>
          <w:sz w:val="21"/>
          <w:szCs w:val="21"/>
        </w:rPr>
        <w:t>4</w:t>
      </w:r>
      <w:r>
        <w:rPr>
          <w:rFonts w:hint="eastAsia" w:ascii="微软雅黑" w:hAnsi="微软雅黑" w:eastAsia="微软雅黑"/>
          <w:b/>
          <w:bCs/>
          <w:color w:val="000000"/>
          <w:sz w:val="21"/>
          <w:szCs w:val="21"/>
        </w:rPr>
        <w:t>、咨询邮箱：</w:t>
      </w:r>
      <w:r>
        <w:rPr>
          <w:rFonts w:hint="eastAsia" w:ascii="微软雅黑" w:hAnsi="微软雅黑" w:eastAsia="微软雅黑" w:cs="Helvetica"/>
          <w:sz w:val="21"/>
          <w:szCs w:val="21"/>
        </w:rPr>
        <w:t>campus@simcere.com</w:t>
      </w:r>
      <w:r>
        <w:rPr>
          <w:rFonts w:hint="eastAsia" w:ascii="微软雅黑" w:hAnsi="微软雅黑" w:eastAsia="微软雅黑" w:cs="Helvetica"/>
          <w:color w:val="000000"/>
          <w:sz w:val="21"/>
          <w:szCs w:val="21"/>
        </w:rPr>
        <w:t>；</w:t>
      </w:r>
    </w:p>
    <w:p>
      <w:pPr>
        <w:pStyle w:val="5"/>
        <w:spacing w:before="0" w:beforeAutospacing="0" w:after="0" w:afterAutospacing="0" w:line="400" w:lineRule="exact"/>
        <w:jc w:val="both"/>
        <w:rPr>
          <w:rFonts w:ascii="微软雅黑" w:hAnsi="微软雅黑" w:eastAsia="微软雅黑" w:cs="Helvetica"/>
          <w:color w:val="000000"/>
          <w:sz w:val="21"/>
          <w:szCs w:val="21"/>
        </w:rPr>
      </w:pPr>
      <w:r>
        <w:rPr>
          <w:rFonts w:ascii="微软雅黑" w:hAnsi="微软雅黑" w:eastAsia="微软雅黑"/>
          <w:b/>
          <w:bCs/>
          <w:color w:val="000000"/>
          <w:sz w:val="21"/>
          <w:szCs w:val="21"/>
        </w:rPr>
        <w:t>5</w:t>
      </w:r>
      <w:r>
        <w:rPr>
          <w:rFonts w:hint="eastAsia" w:ascii="微软雅黑" w:hAnsi="微软雅黑" w:eastAsia="微软雅黑"/>
          <w:b/>
          <w:bCs/>
          <w:color w:val="000000"/>
          <w:sz w:val="21"/>
          <w:szCs w:val="21"/>
        </w:rPr>
        <w:t>、集团总部地址：</w:t>
      </w:r>
      <w:r>
        <w:rPr>
          <w:rFonts w:hint="eastAsia" w:ascii="微软雅黑" w:hAnsi="微软雅黑" w:eastAsia="微软雅黑" w:cs="Helvetica"/>
          <w:color w:val="000000"/>
          <w:sz w:val="21"/>
          <w:szCs w:val="21"/>
        </w:rPr>
        <w:t>南京市玄武区玄武大道699-18号；</w:t>
      </w:r>
    </w:p>
    <w:p>
      <w:pPr>
        <w:pStyle w:val="5"/>
        <w:spacing w:before="0" w:beforeAutospacing="0" w:after="0" w:afterAutospacing="0" w:line="400" w:lineRule="exact"/>
        <w:jc w:val="both"/>
        <w:rPr>
          <w:rFonts w:ascii="微软雅黑" w:hAnsi="微软雅黑" w:eastAsia="微软雅黑"/>
          <w:b/>
          <w:bCs/>
          <w:color w:val="000000"/>
          <w:sz w:val="21"/>
          <w:szCs w:val="21"/>
        </w:rPr>
      </w:pPr>
      <w:r>
        <w:rPr>
          <w:rFonts w:ascii="微软雅黑" w:hAnsi="微软雅黑" w:eastAsia="微软雅黑"/>
          <w:b/>
          <w:bCs/>
          <w:color w:val="000000"/>
          <w:sz w:val="21"/>
          <w:szCs w:val="21"/>
        </w:rPr>
        <w:t>6</w:t>
      </w:r>
      <w:r>
        <w:rPr>
          <w:rFonts w:hint="eastAsia" w:ascii="微软雅黑" w:hAnsi="微软雅黑" w:eastAsia="微软雅黑"/>
          <w:b/>
          <w:bCs/>
          <w:color w:val="000000"/>
          <w:sz w:val="21"/>
          <w:szCs w:val="21"/>
        </w:rPr>
        <w:t>、更多公司信息：</w:t>
      </w:r>
    </w:p>
    <w:p>
      <w:pPr>
        <w:pStyle w:val="5"/>
        <w:spacing w:before="0" w:beforeAutospacing="0" w:after="0" w:afterAutospacing="0" w:line="400" w:lineRule="exact"/>
        <w:jc w:val="both"/>
        <w:rPr>
          <w:rFonts w:ascii="微软雅黑" w:hAnsi="微软雅黑" w:eastAsia="微软雅黑"/>
          <w:bCs/>
          <w:color w:val="000000"/>
          <w:sz w:val="21"/>
          <w:szCs w:val="21"/>
        </w:rPr>
      </w:pPr>
      <w:r>
        <w:rPr>
          <w:rFonts w:hint="eastAsia" w:ascii="微软雅黑" w:hAnsi="微软雅黑" w:eastAsia="微软雅黑"/>
          <w:b/>
          <w:bCs/>
          <w:color w:val="000000"/>
          <w:sz w:val="21"/>
          <w:szCs w:val="21"/>
        </w:rPr>
        <w:t>（1）公司官网</w:t>
      </w:r>
      <w:r>
        <w:rPr>
          <w:rFonts w:ascii="微软雅黑" w:hAnsi="微软雅黑" w:eastAsia="微软雅黑"/>
          <w:b/>
          <w:bCs/>
          <w:color w:val="000000"/>
          <w:sz w:val="21"/>
          <w:szCs w:val="21"/>
        </w:rPr>
        <w:t>：</w:t>
      </w:r>
      <w:r>
        <w:rPr>
          <w:rFonts w:hint="eastAsia" w:ascii="微软雅黑" w:hAnsi="微软雅黑" w:eastAsia="微软雅黑"/>
          <w:bCs/>
          <w:color w:val="000000"/>
          <w:sz w:val="21"/>
          <w:szCs w:val="21"/>
        </w:rPr>
        <w:t xml:space="preserve"> </w:t>
      </w:r>
      <w:r>
        <w:fldChar w:fldCharType="begin"/>
      </w:r>
      <w:r>
        <w:instrText xml:space="preserve"> HYPERLINK "http://www.simcere.com" </w:instrText>
      </w:r>
      <w:r>
        <w:fldChar w:fldCharType="separate"/>
      </w:r>
      <w:r>
        <w:rPr>
          <w:rStyle w:val="12"/>
          <w:rFonts w:hint="eastAsia" w:ascii="微软雅黑" w:hAnsi="微软雅黑" w:eastAsia="微软雅黑"/>
          <w:bCs/>
          <w:sz w:val="21"/>
          <w:szCs w:val="21"/>
        </w:rPr>
        <w:t>h</w:t>
      </w:r>
      <w:r>
        <w:rPr>
          <w:rStyle w:val="12"/>
          <w:rFonts w:ascii="微软雅黑" w:hAnsi="微软雅黑" w:eastAsia="微软雅黑"/>
          <w:bCs/>
          <w:sz w:val="21"/>
          <w:szCs w:val="21"/>
        </w:rPr>
        <w:t>ttp://www.simcere.com</w:t>
      </w:r>
      <w:r>
        <w:rPr>
          <w:rStyle w:val="12"/>
          <w:rFonts w:ascii="微软雅黑" w:hAnsi="微软雅黑" w:eastAsia="微软雅黑"/>
          <w:bCs/>
          <w:sz w:val="21"/>
          <w:szCs w:val="21"/>
        </w:rPr>
        <w:fldChar w:fldCharType="end"/>
      </w:r>
      <w:r>
        <w:rPr>
          <w:rFonts w:ascii="微软雅黑" w:hAnsi="微软雅黑" w:eastAsia="微软雅黑"/>
          <w:bCs/>
          <w:color w:val="000000"/>
          <w:sz w:val="21"/>
          <w:szCs w:val="21"/>
        </w:rPr>
        <w:t xml:space="preserve"> </w:t>
      </w:r>
    </w:p>
    <w:p>
      <w:pPr>
        <w:pStyle w:val="5"/>
        <w:spacing w:before="0" w:beforeAutospacing="0" w:after="0" w:afterAutospacing="0" w:line="400" w:lineRule="exact"/>
        <w:jc w:val="both"/>
        <w:rPr>
          <w:rFonts w:ascii="微软雅黑" w:hAnsi="微软雅黑" w:eastAsia="微软雅黑"/>
          <w:b/>
          <w:bCs/>
          <w:color w:val="000000"/>
          <w:sz w:val="21"/>
          <w:szCs w:val="21"/>
        </w:rPr>
      </w:pPr>
      <w:r>
        <w:rPr>
          <w:rFonts w:hint="eastAsia" w:ascii="微软雅黑" w:hAnsi="微软雅黑" w:eastAsia="微软雅黑"/>
          <w:b/>
          <w:bCs/>
          <w:color w:val="000000"/>
          <w:sz w:val="21"/>
          <w:szCs w:val="21"/>
        </w:rPr>
        <w:t>（2）公司公众号</w:t>
      </w:r>
      <w:r>
        <w:rPr>
          <w:rFonts w:ascii="微软雅黑" w:hAnsi="微软雅黑" w:eastAsia="微软雅黑"/>
          <w:b/>
          <w:bCs/>
          <w:color w:val="000000"/>
          <w:sz w:val="21"/>
          <w:szCs w:val="21"/>
        </w:rPr>
        <w:t>：先声药业</w:t>
      </w:r>
    </w:p>
    <w:p>
      <w:pPr>
        <w:pStyle w:val="5"/>
        <w:spacing w:before="0" w:beforeAutospacing="0" w:after="0" w:afterAutospacing="0" w:line="400" w:lineRule="exact"/>
        <w:jc w:val="both"/>
        <w:rPr>
          <w:rFonts w:ascii="微软雅黑" w:hAnsi="微软雅黑" w:eastAsia="微软雅黑" w:cs="Helvetica"/>
          <w:color w:val="000000"/>
          <w:sz w:val="21"/>
          <w:szCs w:val="21"/>
        </w:rPr>
      </w:pPr>
      <w:r>
        <w:rPr>
          <w:rFonts w:hint="eastAsia" w:ascii="微软雅黑" w:hAnsi="微软雅黑" w:eastAsia="微软雅黑"/>
          <w:b/>
          <w:bCs/>
          <w:color w:val="000000"/>
          <w:sz w:val="21"/>
          <w:szCs w:val="21"/>
        </w:rPr>
        <w:t xml:space="preserve"> </w:t>
      </w:r>
    </w:p>
    <w:p>
      <w:pPr>
        <w:pStyle w:val="5"/>
        <w:spacing w:before="0" w:beforeAutospacing="0" w:after="0" w:afterAutospacing="0" w:line="400" w:lineRule="exact"/>
        <w:jc w:val="both"/>
        <w:rPr>
          <w:rFonts w:ascii="微软雅黑" w:hAnsi="微软雅黑" w:eastAsia="微软雅黑" w:cs="Helvetica"/>
          <w:color w:val="000000"/>
          <w:sz w:val="21"/>
          <w:szCs w:val="21"/>
        </w:rPr>
      </w:pPr>
    </w:p>
    <w:p>
      <w:pPr>
        <w:pStyle w:val="5"/>
        <w:spacing w:before="0" w:beforeAutospacing="0" w:after="0" w:afterAutospacing="0" w:line="400" w:lineRule="exact"/>
        <w:jc w:val="center"/>
        <w:rPr>
          <w:rFonts w:ascii="微软雅黑" w:hAnsi="微软雅黑" w:eastAsia="微软雅黑" w:cs="Helvetica"/>
          <w:color w:val="000000"/>
          <w:sz w:val="21"/>
          <w:szCs w:val="21"/>
        </w:rPr>
      </w:pPr>
    </w:p>
    <w:p>
      <w:pPr>
        <w:spacing w:before="156" w:beforeLines="50"/>
        <w:jc w:val="center"/>
        <w:rPr>
          <w:rFonts w:ascii="微软雅黑" w:hAnsi="微软雅黑" w:eastAsia="微软雅黑" w:cs="Helvetica"/>
          <w:color w:val="000000"/>
          <w:szCs w:val="21"/>
        </w:rPr>
      </w:pPr>
      <w:r>
        <w:rPr>
          <w:rFonts w:hint="eastAsia" w:ascii="微软雅黑" w:hAnsi="微软雅黑" w:eastAsia="微软雅黑" w:cs="Helvetica"/>
          <w:color w:val="000000"/>
          <w:szCs w:val="21"/>
        </w:rPr>
        <w:drawing>
          <wp:inline distT="0" distB="0" distL="0" distR="0">
            <wp:extent cx="1725295" cy="17252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5608" cy="1735608"/>
                    </a:xfrm>
                    <a:prstGeom prst="rect">
                      <a:avLst/>
                    </a:prstGeom>
                  </pic:spPr>
                </pic:pic>
              </a:graphicData>
            </a:graphic>
          </wp:inline>
        </w:drawing>
      </w:r>
      <w:r>
        <w:rPr>
          <w:rFonts w:ascii="微软雅黑" w:hAnsi="微软雅黑" w:eastAsia="微软雅黑" w:cs="Helvetica"/>
          <w:color w:val="000000"/>
          <w:szCs w:val="21"/>
        </w:rPr>
        <w:t xml:space="preserve">    </w:t>
      </w:r>
      <w:r>
        <w:rPr>
          <w:rFonts w:hint="eastAsia" w:ascii="微软雅黑" w:hAnsi="微软雅黑" w:eastAsia="微软雅黑" w:cs="Helvetica"/>
          <w:color w:val="000000"/>
          <w:szCs w:val="21"/>
        </w:rPr>
        <w:drawing>
          <wp:inline distT="0" distB="0" distL="0" distR="0">
            <wp:extent cx="1724025" cy="1724025"/>
            <wp:effectExtent l="0" t="0" r="9525" b="9525"/>
            <wp:docPr id="1" name="图片 1" descr="E:\2017年\项目工作\☆☆2018校园招聘\图文视频\校招微信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2017年\项目工作\☆☆2018校园招聘\图文视频\校招微信公众号二维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724025" cy="1724025"/>
                    </a:xfrm>
                    <a:prstGeom prst="rect">
                      <a:avLst/>
                    </a:prstGeom>
                    <a:noFill/>
                    <a:ln>
                      <a:noFill/>
                    </a:ln>
                  </pic:spPr>
                </pic:pic>
              </a:graphicData>
            </a:graphic>
          </wp:inline>
        </w:drawing>
      </w:r>
      <w:r>
        <w:rPr>
          <w:rFonts w:hint="eastAsia" w:ascii="微软雅黑" w:hAnsi="微软雅黑" w:eastAsia="微软雅黑" w:cs="Helvetica"/>
          <w:color w:val="000000"/>
          <w:szCs w:val="21"/>
        </w:rPr>
        <w:t xml:space="preserve"> </w:t>
      </w:r>
      <w:r>
        <w:rPr>
          <w:rFonts w:ascii="微软雅黑" w:hAnsi="微软雅黑" w:eastAsia="微软雅黑" w:cs="Helvetica"/>
          <w:color w:val="000000"/>
          <w:szCs w:val="21"/>
        </w:rPr>
        <w:t xml:space="preserve">   </w:t>
      </w:r>
      <w:r>
        <w:rPr>
          <w:rFonts w:ascii="微软雅黑" w:hAnsi="微软雅黑" w:eastAsia="微软雅黑" w:cs="Helvetica"/>
          <w:color w:val="000000"/>
          <w:szCs w:val="21"/>
        </w:rPr>
        <w:drawing>
          <wp:inline distT="0" distB="0" distL="0" distR="0">
            <wp:extent cx="1751965" cy="1717675"/>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781335" cy="1746210"/>
                    </a:xfrm>
                    <a:prstGeom prst="rect">
                      <a:avLst/>
                    </a:prstGeom>
                  </pic:spPr>
                </pic:pic>
              </a:graphicData>
            </a:graphic>
          </wp:inline>
        </w:drawing>
      </w:r>
    </w:p>
    <w:p>
      <w:pPr>
        <w:spacing w:before="156" w:beforeLines="50"/>
        <w:ind w:left="840" w:firstLine="210" w:firstLineChars="100"/>
        <w:rPr>
          <w:rFonts w:ascii="微软雅黑" w:hAnsi="微软雅黑" w:eastAsia="微软雅黑" w:cs="Helvetica"/>
          <w:color w:val="000000"/>
          <w:szCs w:val="21"/>
        </w:rPr>
      </w:pPr>
      <w:r>
        <w:rPr>
          <w:rFonts w:hint="eastAsia" w:ascii="微软雅黑" w:hAnsi="微软雅黑" w:eastAsia="微软雅黑" w:cs="Helvetica"/>
          <w:color w:val="000000"/>
          <w:szCs w:val="21"/>
        </w:rPr>
        <w:t>先声药业公众号</w:t>
      </w:r>
      <w:r>
        <w:rPr>
          <w:rFonts w:ascii="微软雅黑" w:hAnsi="微软雅黑" w:eastAsia="微软雅黑" w:cs="Helvetica"/>
          <w:color w:val="000000"/>
          <w:szCs w:val="21"/>
        </w:rPr>
        <w:tab/>
      </w:r>
      <w:r>
        <w:rPr>
          <w:rFonts w:ascii="微软雅黑" w:hAnsi="微软雅黑" w:eastAsia="微软雅黑" w:cs="Helvetica"/>
          <w:color w:val="000000"/>
          <w:szCs w:val="21"/>
        </w:rPr>
        <w:tab/>
      </w:r>
      <w:r>
        <w:rPr>
          <w:rFonts w:ascii="微软雅黑" w:hAnsi="微软雅黑" w:eastAsia="微软雅黑" w:cs="Helvetica"/>
          <w:color w:val="000000"/>
          <w:szCs w:val="21"/>
        </w:rPr>
        <w:t xml:space="preserve">      </w:t>
      </w:r>
      <w:r>
        <w:rPr>
          <w:rFonts w:hint="eastAsia" w:ascii="微软雅黑" w:hAnsi="微软雅黑" w:eastAsia="微软雅黑" w:cs="Helvetica"/>
          <w:color w:val="000000"/>
          <w:szCs w:val="21"/>
        </w:rPr>
        <w:t>先声药业招聘公众号</w:t>
      </w:r>
      <w:r>
        <w:rPr>
          <w:rFonts w:ascii="微软雅黑" w:hAnsi="微软雅黑" w:eastAsia="微软雅黑" w:cs="Helvetica"/>
          <w:color w:val="000000"/>
          <w:szCs w:val="21"/>
        </w:rPr>
        <w:tab/>
      </w:r>
      <w:r>
        <w:rPr>
          <w:rFonts w:ascii="微软雅黑" w:hAnsi="微软雅黑" w:eastAsia="微软雅黑" w:cs="Helvetica"/>
          <w:color w:val="000000"/>
          <w:szCs w:val="21"/>
        </w:rPr>
        <w:tab/>
      </w:r>
      <w:r>
        <w:rPr>
          <w:rFonts w:ascii="微软雅黑" w:hAnsi="微软雅黑" w:eastAsia="微软雅黑" w:cs="Helvetica"/>
          <w:color w:val="000000"/>
          <w:szCs w:val="21"/>
        </w:rPr>
        <w:t xml:space="preserve">   </w:t>
      </w:r>
      <w:r>
        <w:rPr>
          <w:rFonts w:hint="eastAsia" w:ascii="微软雅黑" w:hAnsi="微软雅黑" w:eastAsia="微软雅黑" w:cs="Helvetica"/>
          <w:color w:val="000000"/>
          <w:szCs w:val="21"/>
        </w:rPr>
        <w:t>先声药业招聘B站号</w:t>
      </w:r>
    </w:p>
    <w:p>
      <w:pPr>
        <w:spacing w:before="156" w:beforeLines="50"/>
        <w:jc w:val="center"/>
        <w:rPr>
          <w:rFonts w:ascii="微软雅黑" w:hAnsi="微软雅黑" w:eastAsia="微软雅黑" w:cs="Helvetica"/>
          <w:color w:val="000000"/>
          <w:szCs w:val="21"/>
        </w:rPr>
      </w:pPr>
      <w:r>
        <w:rPr>
          <w:rFonts w:hint="eastAsia" w:ascii="微软雅黑" w:hAnsi="微软雅黑" w:eastAsia="微软雅黑" w:cs="Helvetica"/>
          <w:color w:val="000000"/>
          <w:szCs w:val="21"/>
        </w:rPr>
        <w:t>扫码加入，我们需要</w:t>
      </w:r>
      <w:r>
        <w:rPr>
          <w:rFonts w:ascii="微软雅黑" w:hAnsi="微软雅黑" w:eastAsia="微软雅黑" w:cs="Helvetica"/>
          <w:color w:val="000000"/>
          <w:szCs w:val="21"/>
        </w:rPr>
        <w:t>比我们更强的人</w:t>
      </w:r>
      <w:r>
        <w:rPr>
          <w:rFonts w:hint="eastAsia" w:ascii="微软雅黑" w:hAnsi="微软雅黑" w:eastAsia="微软雅黑" w:cs="Helvetica"/>
          <w:color w:val="000000"/>
          <w:szCs w:val="21"/>
        </w:rPr>
        <w:t>！</w:t>
      </w:r>
    </w:p>
    <w:p>
      <w:pPr>
        <w:spacing w:before="156" w:beforeLines="50"/>
        <w:ind w:right="630"/>
        <w:jc w:val="right"/>
        <w:rPr>
          <w:rFonts w:ascii="微软雅黑" w:hAnsi="微软雅黑" w:eastAsia="微软雅黑" w:cs="Helvetica"/>
          <w:color w:val="000000"/>
          <w:szCs w:val="21"/>
        </w:rPr>
      </w:pPr>
    </w:p>
    <w:sectPr>
      <w:pgSz w:w="11906" w:h="16838"/>
      <w:pgMar w:top="851" w:right="1077" w:bottom="851" w:left="107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auto"/>
    <w:pitch w:val="default"/>
    <w:sig w:usb0="00000000" w:usb1="00000000" w:usb2="00000000" w:usb3="00000000" w:csb0="0000019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9F670C"/>
    <w:multiLevelType w:val="multilevel"/>
    <w:tmpl w:val="3C9F670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F34069A"/>
    <w:multiLevelType w:val="multilevel"/>
    <w:tmpl w:val="5F34069A"/>
    <w:lvl w:ilvl="0" w:tentative="0">
      <w:start w:val="3"/>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AC41D6B"/>
    <w:multiLevelType w:val="multilevel"/>
    <w:tmpl w:val="6AC41D6B"/>
    <w:lvl w:ilvl="0" w:tentative="0">
      <w:start w:val="1"/>
      <w:numFmt w:val="decimal"/>
      <w:lvlText w:val="%1、"/>
      <w:lvlJc w:val="left"/>
      <w:pPr>
        <w:ind w:left="360" w:hanging="360"/>
      </w:pPr>
      <w:rPr>
        <w:rFonts w:hint="default" w:cs="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76"/>
    <w:rsid w:val="000034D4"/>
    <w:rsid w:val="00021ACC"/>
    <w:rsid w:val="00030D9E"/>
    <w:rsid w:val="00030FDF"/>
    <w:rsid w:val="00040917"/>
    <w:rsid w:val="00047F29"/>
    <w:rsid w:val="000510F5"/>
    <w:rsid w:val="000553D6"/>
    <w:rsid w:val="00056EB4"/>
    <w:rsid w:val="00063E35"/>
    <w:rsid w:val="000811C6"/>
    <w:rsid w:val="000818BD"/>
    <w:rsid w:val="00081AF2"/>
    <w:rsid w:val="0008767E"/>
    <w:rsid w:val="0009170C"/>
    <w:rsid w:val="000A532E"/>
    <w:rsid w:val="000A5733"/>
    <w:rsid w:val="000B1FAD"/>
    <w:rsid w:val="000B619D"/>
    <w:rsid w:val="000D3830"/>
    <w:rsid w:val="000D3BE4"/>
    <w:rsid w:val="000E7AC5"/>
    <w:rsid w:val="000F43EF"/>
    <w:rsid w:val="000F78EC"/>
    <w:rsid w:val="00100C7B"/>
    <w:rsid w:val="00121939"/>
    <w:rsid w:val="00123BD9"/>
    <w:rsid w:val="00133917"/>
    <w:rsid w:val="00151777"/>
    <w:rsid w:val="00156E8E"/>
    <w:rsid w:val="00160A39"/>
    <w:rsid w:val="00161609"/>
    <w:rsid w:val="00162899"/>
    <w:rsid w:val="0016616A"/>
    <w:rsid w:val="0017048A"/>
    <w:rsid w:val="001731F2"/>
    <w:rsid w:val="001A7CA9"/>
    <w:rsid w:val="001B33D3"/>
    <w:rsid w:val="001B4862"/>
    <w:rsid w:val="001B67FC"/>
    <w:rsid w:val="001B7E2C"/>
    <w:rsid w:val="001C112F"/>
    <w:rsid w:val="001C33CA"/>
    <w:rsid w:val="001C3F47"/>
    <w:rsid w:val="001C57EC"/>
    <w:rsid w:val="001C605D"/>
    <w:rsid w:val="001D4935"/>
    <w:rsid w:val="001E1625"/>
    <w:rsid w:val="001E242F"/>
    <w:rsid w:val="001E5811"/>
    <w:rsid w:val="001F64A3"/>
    <w:rsid w:val="002032F7"/>
    <w:rsid w:val="002036E8"/>
    <w:rsid w:val="00203A36"/>
    <w:rsid w:val="00207862"/>
    <w:rsid w:val="0021345C"/>
    <w:rsid w:val="00214827"/>
    <w:rsid w:val="0023618E"/>
    <w:rsid w:val="00240D3A"/>
    <w:rsid w:val="0025248D"/>
    <w:rsid w:val="00252F6A"/>
    <w:rsid w:val="00257E4D"/>
    <w:rsid w:val="00264D8F"/>
    <w:rsid w:val="00265AE7"/>
    <w:rsid w:val="0028103D"/>
    <w:rsid w:val="002A0ABD"/>
    <w:rsid w:val="002A4DBA"/>
    <w:rsid w:val="002A77E9"/>
    <w:rsid w:val="002B62AC"/>
    <w:rsid w:val="002C2444"/>
    <w:rsid w:val="002C439D"/>
    <w:rsid w:val="002D31FB"/>
    <w:rsid w:val="002E1BC7"/>
    <w:rsid w:val="002E2685"/>
    <w:rsid w:val="002E333B"/>
    <w:rsid w:val="002F1A25"/>
    <w:rsid w:val="002F31B0"/>
    <w:rsid w:val="002F42E1"/>
    <w:rsid w:val="003026E2"/>
    <w:rsid w:val="00305300"/>
    <w:rsid w:val="003203B4"/>
    <w:rsid w:val="003216E1"/>
    <w:rsid w:val="00326EC2"/>
    <w:rsid w:val="003306C6"/>
    <w:rsid w:val="00344F98"/>
    <w:rsid w:val="00345AE1"/>
    <w:rsid w:val="00350205"/>
    <w:rsid w:val="003523A2"/>
    <w:rsid w:val="003627A9"/>
    <w:rsid w:val="00371A4B"/>
    <w:rsid w:val="00371BD4"/>
    <w:rsid w:val="00372D17"/>
    <w:rsid w:val="00391061"/>
    <w:rsid w:val="003917B5"/>
    <w:rsid w:val="00391A09"/>
    <w:rsid w:val="00391C89"/>
    <w:rsid w:val="003A4BFD"/>
    <w:rsid w:val="003C0B5F"/>
    <w:rsid w:val="003C0B94"/>
    <w:rsid w:val="003C7B6A"/>
    <w:rsid w:val="003D5A07"/>
    <w:rsid w:val="003F0050"/>
    <w:rsid w:val="003F2982"/>
    <w:rsid w:val="0041055F"/>
    <w:rsid w:val="00415008"/>
    <w:rsid w:val="00416323"/>
    <w:rsid w:val="0041666E"/>
    <w:rsid w:val="00421522"/>
    <w:rsid w:val="0042535A"/>
    <w:rsid w:val="00425909"/>
    <w:rsid w:val="00446B83"/>
    <w:rsid w:val="004638B1"/>
    <w:rsid w:val="00480D4D"/>
    <w:rsid w:val="004840E6"/>
    <w:rsid w:val="00487B5C"/>
    <w:rsid w:val="00490AF5"/>
    <w:rsid w:val="004912B7"/>
    <w:rsid w:val="00494661"/>
    <w:rsid w:val="004A0FB9"/>
    <w:rsid w:val="004B058F"/>
    <w:rsid w:val="004B074B"/>
    <w:rsid w:val="004B12C9"/>
    <w:rsid w:val="004B64DF"/>
    <w:rsid w:val="004B6714"/>
    <w:rsid w:val="004B6ED8"/>
    <w:rsid w:val="004B7233"/>
    <w:rsid w:val="004C200C"/>
    <w:rsid w:val="004C243F"/>
    <w:rsid w:val="004D07C6"/>
    <w:rsid w:val="004D4B77"/>
    <w:rsid w:val="004D5245"/>
    <w:rsid w:val="004E63E8"/>
    <w:rsid w:val="004F02BC"/>
    <w:rsid w:val="004F096D"/>
    <w:rsid w:val="00504BDE"/>
    <w:rsid w:val="00506508"/>
    <w:rsid w:val="005242E0"/>
    <w:rsid w:val="00527E40"/>
    <w:rsid w:val="005446C8"/>
    <w:rsid w:val="00544E59"/>
    <w:rsid w:val="00547029"/>
    <w:rsid w:val="00552EA4"/>
    <w:rsid w:val="005642B4"/>
    <w:rsid w:val="00566F54"/>
    <w:rsid w:val="005767EC"/>
    <w:rsid w:val="005875F7"/>
    <w:rsid w:val="00596488"/>
    <w:rsid w:val="005A0B0D"/>
    <w:rsid w:val="005A4B33"/>
    <w:rsid w:val="005B5A03"/>
    <w:rsid w:val="005B749C"/>
    <w:rsid w:val="005B784B"/>
    <w:rsid w:val="005C43BE"/>
    <w:rsid w:val="005E18BE"/>
    <w:rsid w:val="005E5F51"/>
    <w:rsid w:val="005E64E4"/>
    <w:rsid w:val="005E74F5"/>
    <w:rsid w:val="00600425"/>
    <w:rsid w:val="00600EC6"/>
    <w:rsid w:val="0060424B"/>
    <w:rsid w:val="00613E5F"/>
    <w:rsid w:val="00617C8B"/>
    <w:rsid w:val="00617C91"/>
    <w:rsid w:val="006321F5"/>
    <w:rsid w:val="00636193"/>
    <w:rsid w:val="00640DE9"/>
    <w:rsid w:val="00641F73"/>
    <w:rsid w:val="006448F9"/>
    <w:rsid w:val="00647AB2"/>
    <w:rsid w:val="00660E07"/>
    <w:rsid w:val="00661B3E"/>
    <w:rsid w:val="00670FB2"/>
    <w:rsid w:val="00680FD6"/>
    <w:rsid w:val="00686AF3"/>
    <w:rsid w:val="006B3711"/>
    <w:rsid w:val="006B5BEC"/>
    <w:rsid w:val="006C0C35"/>
    <w:rsid w:val="006C702B"/>
    <w:rsid w:val="006E5EF8"/>
    <w:rsid w:val="006E7305"/>
    <w:rsid w:val="006E7C27"/>
    <w:rsid w:val="006F5D67"/>
    <w:rsid w:val="006F6611"/>
    <w:rsid w:val="006F706D"/>
    <w:rsid w:val="007009CA"/>
    <w:rsid w:val="00702568"/>
    <w:rsid w:val="007156C3"/>
    <w:rsid w:val="00733B9A"/>
    <w:rsid w:val="00737848"/>
    <w:rsid w:val="007454C1"/>
    <w:rsid w:val="00746E89"/>
    <w:rsid w:val="007670BA"/>
    <w:rsid w:val="0077044E"/>
    <w:rsid w:val="00772565"/>
    <w:rsid w:val="00782E5B"/>
    <w:rsid w:val="00797AA7"/>
    <w:rsid w:val="00797D02"/>
    <w:rsid w:val="007A2B74"/>
    <w:rsid w:val="007A6005"/>
    <w:rsid w:val="007B5B63"/>
    <w:rsid w:val="007B7A0F"/>
    <w:rsid w:val="007C5729"/>
    <w:rsid w:val="007F7E42"/>
    <w:rsid w:val="00802771"/>
    <w:rsid w:val="00807A8B"/>
    <w:rsid w:val="00832F6E"/>
    <w:rsid w:val="008347ED"/>
    <w:rsid w:val="008426A9"/>
    <w:rsid w:val="00842E5E"/>
    <w:rsid w:val="00845CB9"/>
    <w:rsid w:val="00846C28"/>
    <w:rsid w:val="008675DB"/>
    <w:rsid w:val="0087122F"/>
    <w:rsid w:val="00871FEB"/>
    <w:rsid w:val="0087373E"/>
    <w:rsid w:val="00873A9E"/>
    <w:rsid w:val="008845C0"/>
    <w:rsid w:val="008846A2"/>
    <w:rsid w:val="0088794D"/>
    <w:rsid w:val="00890B49"/>
    <w:rsid w:val="008A3DF5"/>
    <w:rsid w:val="008B7EA6"/>
    <w:rsid w:val="008C6321"/>
    <w:rsid w:val="008D1387"/>
    <w:rsid w:val="008E0F8C"/>
    <w:rsid w:val="008E6177"/>
    <w:rsid w:val="008F47E5"/>
    <w:rsid w:val="008F6100"/>
    <w:rsid w:val="00906E04"/>
    <w:rsid w:val="00910F6D"/>
    <w:rsid w:val="00917459"/>
    <w:rsid w:val="0093452B"/>
    <w:rsid w:val="00942953"/>
    <w:rsid w:val="009442CD"/>
    <w:rsid w:val="00952F9E"/>
    <w:rsid w:val="0095529A"/>
    <w:rsid w:val="009709AE"/>
    <w:rsid w:val="009710C3"/>
    <w:rsid w:val="009713DA"/>
    <w:rsid w:val="009730B5"/>
    <w:rsid w:val="00975967"/>
    <w:rsid w:val="00983BD9"/>
    <w:rsid w:val="00994AAB"/>
    <w:rsid w:val="00996569"/>
    <w:rsid w:val="00997543"/>
    <w:rsid w:val="009976E5"/>
    <w:rsid w:val="009C6C7D"/>
    <w:rsid w:val="009C7E04"/>
    <w:rsid w:val="009C7F1A"/>
    <w:rsid w:val="009D0694"/>
    <w:rsid w:val="009D1935"/>
    <w:rsid w:val="009D40BC"/>
    <w:rsid w:val="009E2F76"/>
    <w:rsid w:val="009F0C95"/>
    <w:rsid w:val="009F756C"/>
    <w:rsid w:val="00A0047B"/>
    <w:rsid w:val="00A04BEC"/>
    <w:rsid w:val="00A06163"/>
    <w:rsid w:val="00A169B1"/>
    <w:rsid w:val="00A266A0"/>
    <w:rsid w:val="00A41B7A"/>
    <w:rsid w:val="00A43C1E"/>
    <w:rsid w:val="00A43C6F"/>
    <w:rsid w:val="00A576BD"/>
    <w:rsid w:val="00A61DC0"/>
    <w:rsid w:val="00A66611"/>
    <w:rsid w:val="00A76A44"/>
    <w:rsid w:val="00A94330"/>
    <w:rsid w:val="00A94ED8"/>
    <w:rsid w:val="00A95D4D"/>
    <w:rsid w:val="00AA129A"/>
    <w:rsid w:val="00AA23B7"/>
    <w:rsid w:val="00AD7423"/>
    <w:rsid w:val="00AE35F8"/>
    <w:rsid w:val="00AE612D"/>
    <w:rsid w:val="00B01A7D"/>
    <w:rsid w:val="00B07E57"/>
    <w:rsid w:val="00B126FA"/>
    <w:rsid w:val="00B153BD"/>
    <w:rsid w:val="00B2333C"/>
    <w:rsid w:val="00B23AFC"/>
    <w:rsid w:val="00B23FA0"/>
    <w:rsid w:val="00B26281"/>
    <w:rsid w:val="00B31EA1"/>
    <w:rsid w:val="00B4287E"/>
    <w:rsid w:val="00B4602E"/>
    <w:rsid w:val="00B47665"/>
    <w:rsid w:val="00B47CEB"/>
    <w:rsid w:val="00B517C6"/>
    <w:rsid w:val="00B572A7"/>
    <w:rsid w:val="00B636D3"/>
    <w:rsid w:val="00B76D60"/>
    <w:rsid w:val="00B90776"/>
    <w:rsid w:val="00B90B2C"/>
    <w:rsid w:val="00B90D71"/>
    <w:rsid w:val="00B9494A"/>
    <w:rsid w:val="00BA5035"/>
    <w:rsid w:val="00BA57F4"/>
    <w:rsid w:val="00BA7556"/>
    <w:rsid w:val="00BB1EC0"/>
    <w:rsid w:val="00BD196C"/>
    <w:rsid w:val="00BD22FD"/>
    <w:rsid w:val="00BD7A75"/>
    <w:rsid w:val="00BF4A6D"/>
    <w:rsid w:val="00C06DEA"/>
    <w:rsid w:val="00C20143"/>
    <w:rsid w:val="00C40CCF"/>
    <w:rsid w:val="00C4382F"/>
    <w:rsid w:val="00C4636B"/>
    <w:rsid w:val="00C47C4C"/>
    <w:rsid w:val="00C53709"/>
    <w:rsid w:val="00C64324"/>
    <w:rsid w:val="00C671B3"/>
    <w:rsid w:val="00C8017A"/>
    <w:rsid w:val="00CA066C"/>
    <w:rsid w:val="00CA2AFA"/>
    <w:rsid w:val="00CA6111"/>
    <w:rsid w:val="00CB3669"/>
    <w:rsid w:val="00CB4F9E"/>
    <w:rsid w:val="00CB7B73"/>
    <w:rsid w:val="00CC54DE"/>
    <w:rsid w:val="00CC57DB"/>
    <w:rsid w:val="00CC6947"/>
    <w:rsid w:val="00CC756D"/>
    <w:rsid w:val="00CD307E"/>
    <w:rsid w:val="00CD4EF6"/>
    <w:rsid w:val="00CD545E"/>
    <w:rsid w:val="00CD72CE"/>
    <w:rsid w:val="00CE6FDB"/>
    <w:rsid w:val="00CF2DC7"/>
    <w:rsid w:val="00D05720"/>
    <w:rsid w:val="00D10C96"/>
    <w:rsid w:val="00D226C5"/>
    <w:rsid w:val="00D41B15"/>
    <w:rsid w:val="00D50E0B"/>
    <w:rsid w:val="00D54BF9"/>
    <w:rsid w:val="00D57C97"/>
    <w:rsid w:val="00D57CFB"/>
    <w:rsid w:val="00D63DCD"/>
    <w:rsid w:val="00D65552"/>
    <w:rsid w:val="00D72086"/>
    <w:rsid w:val="00D76419"/>
    <w:rsid w:val="00D76565"/>
    <w:rsid w:val="00D801EB"/>
    <w:rsid w:val="00D8724D"/>
    <w:rsid w:val="00DA1DB2"/>
    <w:rsid w:val="00DB75C2"/>
    <w:rsid w:val="00DC02F4"/>
    <w:rsid w:val="00DC19DA"/>
    <w:rsid w:val="00DC7694"/>
    <w:rsid w:val="00DD7A22"/>
    <w:rsid w:val="00DE1536"/>
    <w:rsid w:val="00DE3F90"/>
    <w:rsid w:val="00DE4B5D"/>
    <w:rsid w:val="00DF519C"/>
    <w:rsid w:val="00DF590B"/>
    <w:rsid w:val="00E0075C"/>
    <w:rsid w:val="00E01769"/>
    <w:rsid w:val="00E118CC"/>
    <w:rsid w:val="00E118CF"/>
    <w:rsid w:val="00E17D7D"/>
    <w:rsid w:val="00E21128"/>
    <w:rsid w:val="00E22393"/>
    <w:rsid w:val="00E245D1"/>
    <w:rsid w:val="00E31B1F"/>
    <w:rsid w:val="00E406F0"/>
    <w:rsid w:val="00E50486"/>
    <w:rsid w:val="00E855A9"/>
    <w:rsid w:val="00E86687"/>
    <w:rsid w:val="00E868AA"/>
    <w:rsid w:val="00E86C71"/>
    <w:rsid w:val="00E87455"/>
    <w:rsid w:val="00E87F79"/>
    <w:rsid w:val="00E921C3"/>
    <w:rsid w:val="00EA134C"/>
    <w:rsid w:val="00EA56E9"/>
    <w:rsid w:val="00EB1CE0"/>
    <w:rsid w:val="00EB222C"/>
    <w:rsid w:val="00ED3020"/>
    <w:rsid w:val="00EE41B2"/>
    <w:rsid w:val="00EF5F95"/>
    <w:rsid w:val="00F029AE"/>
    <w:rsid w:val="00F05FF6"/>
    <w:rsid w:val="00F109A6"/>
    <w:rsid w:val="00F11DEE"/>
    <w:rsid w:val="00F1204A"/>
    <w:rsid w:val="00F139F7"/>
    <w:rsid w:val="00F1545D"/>
    <w:rsid w:val="00F154C6"/>
    <w:rsid w:val="00F17AED"/>
    <w:rsid w:val="00F25872"/>
    <w:rsid w:val="00F43BCF"/>
    <w:rsid w:val="00F45CB2"/>
    <w:rsid w:val="00F55226"/>
    <w:rsid w:val="00F565D4"/>
    <w:rsid w:val="00F56AF6"/>
    <w:rsid w:val="00F63E36"/>
    <w:rsid w:val="00F65B02"/>
    <w:rsid w:val="00F76D8B"/>
    <w:rsid w:val="00F822F7"/>
    <w:rsid w:val="00FA34EA"/>
    <w:rsid w:val="00FB06E4"/>
    <w:rsid w:val="00FC1385"/>
    <w:rsid w:val="00FC2BC5"/>
    <w:rsid w:val="00FD31B2"/>
    <w:rsid w:val="00FD463E"/>
    <w:rsid w:val="00FF0E83"/>
    <w:rsid w:val="00FF3BBB"/>
    <w:rsid w:val="00FF79AA"/>
    <w:rsid w:val="0C8245CA"/>
    <w:rsid w:val="48E020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6"/>
    <w:semiHidden/>
    <w:unhideWhenUsed/>
    <w:uiPriority w:val="99"/>
    <w:rPr>
      <w:sz w:val="18"/>
      <w:szCs w:val="18"/>
    </w:rPr>
  </w:style>
  <w:style w:type="paragraph" w:styleId="3">
    <w:name w:val="footer"/>
    <w:basedOn w:val="1"/>
    <w:link w:val="14"/>
    <w:unhideWhenUsed/>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8">
    <w:name w:val="Light List Accent 5"/>
    <w:basedOn w:val="6"/>
    <w:qFormat/>
    <w:uiPriority w:val="61"/>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9">
    <w:name w:val="Medium Grid 3 Accent 5"/>
    <w:basedOn w:val="6"/>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character" w:styleId="11">
    <w:name w:val="Strong"/>
    <w:basedOn w:val="10"/>
    <w:qFormat/>
    <w:uiPriority w:val="22"/>
    <w:rPr>
      <w:b/>
      <w:bCs/>
    </w:rPr>
  </w:style>
  <w:style w:type="character" w:styleId="12">
    <w:name w:val="Hyperlink"/>
    <w:basedOn w:val="10"/>
    <w:unhideWhenUsed/>
    <w:uiPriority w:val="99"/>
    <w:rPr>
      <w:color w:val="0000FF"/>
      <w:u w:val="single"/>
    </w:rPr>
  </w:style>
  <w:style w:type="character" w:customStyle="1" w:styleId="13">
    <w:name w:val="页眉 字符"/>
    <w:basedOn w:val="10"/>
    <w:link w:val="4"/>
    <w:uiPriority w:val="99"/>
    <w:rPr>
      <w:sz w:val="18"/>
      <w:szCs w:val="18"/>
    </w:rPr>
  </w:style>
  <w:style w:type="character" w:customStyle="1" w:styleId="14">
    <w:name w:val="页脚 字符"/>
    <w:basedOn w:val="10"/>
    <w:link w:val="3"/>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框文本 字符"/>
    <w:basedOn w:val="10"/>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190</Words>
  <Characters>1083</Characters>
  <Lines>9</Lines>
  <Paragraphs>2</Paragraphs>
  <TotalTime>2</TotalTime>
  <ScaleCrop>false</ScaleCrop>
  <LinksUpToDate>false</LinksUpToDate>
  <CharactersWithSpaces>1271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2021-09-17T00:38:00Z</dcterms:created>
  <dc:creator>微软用户</dc:creator>
  <cp:lastModifiedBy>Antidote</cp:lastModifiedBy>
  <cp:lastPrinted>2020-09-22T02:39:00Z</cp:lastPrinted>
  <dcterms:modified xsi:type="dcterms:W3CDTF">2022-03-09T06:40:52Z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8C00D1F564214CC1B728A3D7D910074A</vt:lpwstr>
  </property>
</Properties>
</file>